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54005F" w:rsidRDefault="00900D93" w:rsidP="0054005F">
      <w:pPr>
        <w:pStyle w:val="Sinespaciado"/>
        <w:spacing w:line="240" w:lineRule="exact"/>
        <w:jc w:val="center"/>
        <w:rPr>
          <w:rFonts w:cs="Arial"/>
          <w:highlight w:val="yellow"/>
        </w:rPr>
      </w:pPr>
    </w:p>
    <w:p w:rsidR="00900D93" w:rsidRPr="0054005F" w:rsidRDefault="000F3249" w:rsidP="0054005F">
      <w:pPr>
        <w:pStyle w:val="Sinespaciado"/>
        <w:spacing w:line="240" w:lineRule="exact"/>
        <w:rPr>
          <w:rFonts w:eastAsia="Arial" w:cs="Arial"/>
          <w:b/>
        </w:rPr>
      </w:pPr>
      <w:r w:rsidRPr="0054005F">
        <w:rPr>
          <w:rFonts w:eastAsia="Arial" w:cs="Arial"/>
          <w:b/>
        </w:rPr>
        <w:t xml:space="preserve">TEXTO DEFINITIVO APROBADO EN PRIMER DEBATE DEL PROYECTO DE LEY </w:t>
      </w:r>
      <w:r w:rsidR="003A202D" w:rsidRPr="0054005F">
        <w:rPr>
          <w:rFonts w:cs="Arial"/>
          <w:b/>
          <w:bCs/>
        </w:rPr>
        <w:t xml:space="preserve">No. </w:t>
      </w:r>
      <w:r w:rsidR="007B62E2">
        <w:rPr>
          <w:rFonts w:cs="Arial"/>
          <w:b/>
        </w:rPr>
        <w:t xml:space="preserve">No. </w:t>
      </w:r>
      <w:r w:rsidR="007B62E2" w:rsidRPr="00E71E0B">
        <w:rPr>
          <w:rStyle w:val="Textoennegrita"/>
          <w:rFonts w:cs="Arial"/>
        </w:rPr>
        <w:t>225 DE 2023 CÁMARA</w:t>
      </w:r>
      <w:r w:rsidR="007B62E2" w:rsidRPr="00E71E0B">
        <w:rPr>
          <w:rFonts w:cs="Arial"/>
          <w:b/>
          <w:bCs/>
        </w:rPr>
        <w:t xml:space="preserve"> “POR MEDIO DEL CUAL SE MODIFICA LA LEY 1566 DEL 2012, SE DAN LINEAMIENTOS PARA UNA POLÍTICA DE REDUCCIÓN DE RIESGOS Y DAÑOS PARA PERSONAS QUE CONSUMEN SUSTANCIAS PSICOACTIVAS Y SE DICTAN OTRAS DISPOSICIONES”</w:t>
      </w:r>
      <w:r w:rsidR="007B62E2">
        <w:rPr>
          <w:rFonts w:cs="Arial"/>
          <w:b/>
          <w:bCs/>
        </w:rPr>
        <w:t>.</w:t>
      </w:r>
    </w:p>
    <w:p w:rsidR="00900D93" w:rsidRPr="0054005F" w:rsidRDefault="00900D93" w:rsidP="0054005F">
      <w:pPr>
        <w:pBdr>
          <w:top w:val="nil"/>
          <w:left w:val="nil"/>
          <w:bottom w:val="nil"/>
          <w:right w:val="nil"/>
          <w:between w:val="nil"/>
        </w:pBdr>
        <w:spacing w:after="0" w:line="240" w:lineRule="exact"/>
        <w:jc w:val="both"/>
        <w:rPr>
          <w:rFonts w:ascii="Arial" w:eastAsia="Arial" w:hAnsi="Arial" w:cs="Arial"/>
          <w:b/>
          <w:color w:val="000000"/>
        </w:rPr>
      </w:pPr>
    </w:p>
    <w:p w:rsidR="00900D93" w:rsidRPr="0054005F" w:rsidRDefault="000F3249" w:rsidP="0054005F">
      <w:pPr>
        <w:pStyle w:val="Sinespaciado"/>
        <w:spacing w:line="240" w:lineRule="exact"/>
        <w:jc w:val="center"/>
        <w:rPr>
          <w:rFonts w:cs="Arial"/>
        </w:rPr>
      </w:pPr>
      <w:r w:rsidRPr="0054005F">
        <w:rPr>
          <w:rFonts w:cs="Arial"/>
        </w:rPr>
        <w:t xml:space="preserve">(Aprobado en la Sesión presencial del </w:t>
      </w:r>
      <w:r w:rsidR="009F11E1">
        <w:rPr>
          <w:rFonts w:cs="Arial"/>
        </w:rPr>
        <w:t>20</w:t>
      </w:r>
      <w:r w:rsidR="003A202D" w:rsidRPr="0054005F">
        <w:rPr>
          <w:rFonts w:cs="Arial"/>
        </w:rPr>
        <w:t xml:space="preserve"> de mayo </w:t>
      </w:r>
      <w:r w:rsidR="00344B4D" w:rsidRPr="0054005F">
        <w:rPr>
          <w:rFonts w:cs="Arial"/>
        </w:rPr>
        <w:t>de 2024</w:t>
      </w:r>
      <w:r w:rsidR="009A5477" w:rsidRPr="0054005F">
        <w:rPr>
          <w:rFonts w:cs="Arial"/>
        </w:rPr>
        <w:t xml:space="preserve">, Comisión VII Constitucional </w:t>
      </w:r>
      <w:r w:rsidRPr="0054005F">
        <w:rPr>
          <w:rFonts w:cs="Arial"/>
        </w:rPr>
        <w:t xml:space="preserve">Permanente de la H. Cámara de Representantes, </w:t>
      </w:r>
      <w:r w:rsidR="009A5477" w:rsidRPr="0054005F">
        <w:rPr>
          <w:rFonts w:cs="Arial"/>
        </w:rPr>
        <w:t>a</w:t>
      </w:r>
      <w:r w:rsidRPr="0054005F">
        <w:rPr>
          <w:rFonts w:cs="Arial"/>
        </w:rPr>
        <w:t xml:space="preserve">cta No. </w:t>
      </w:r>
      <w:r w:rsidR="009F11E1">
        <w:rPr>
          <w:rFonts w:cs="Arial"/>
        </w:rPr>
        <w:t>45</w:t>
      </w:r>
      <w:r w:rsidRPr="0054005F">
        <w:rPr>
          <w:rFonts w:cs="Arial"/>
        </w:rPr>
        <w:t>)</w:t>
      </w:r>
    </w:p>
    <w:p w:rsidR="00900D93" w:rsidRPr="0054005F" w:rsidRDefault="000F3249" w:rsidP="0054005F">
      <w:pPr>
        <w:spacing w:before="240" w:after="0" w:line="240" w:lineRule="exact"/>
        <w:jc w:val="center"/>
        <w:rPr>
          <w:rFonts w:ascii="Arial" w:eastAsia="Arial" w:hAnsi="Arial" w:cs="Arial"/>
          <w:b/>
        </w:rPr>
      </w:pPr>
      <w:r w:rsidRPr="0054005F">
        <w:rPr>
          <w:rFonts w:ascii="Arial" w:eastAsia="Arial" w:hAnsi="Arial" w:cs="Arial"/>
          <w:b/>
        </w:rPr>
        <w:t>EL CONGRESO DE COLOMBIA</w:t>
      </w:r>
    </w:p>
    <w:p w:rsidR="00900D93" w:rsidRPr="0054005F" w:rsidRDefault="000F3249" w:rsidP="0054005F">
      <w:pPr>
        <w:spacing w:before="240" w:after="0" w:line="240" w:lineRule="exact"/>
        <w:jc w:val="center"/>
        <w:rPr>
          <w:rFonts w:ascii="Arial" w:eastAsia="Arial" w:hAnsi="Arial" w:cs="Arial"/>
          <w:b/>
        </w:rPr>
      </w:pPr>
      <w:r w:rsidRPr="0054005F">
        <w:rPr>
          <w:rFonts w:ascii="Arial" w:eastAsia="Arial" w:hAnsi="Arial" w:cs="Arial"/>
          <w:b/>
        </w:rPr>
        <w:t>DECRETA:</w:t>
      </w:r>
    </w:p>
    <w:p w:rsidR="00464DC8" w:rsidRPr="00DE26FB" w:rsidRDefault="00464DC8" w:rsidP="0054005F">
      <w:pPr>
        <w:pStyle w:val="Sinespaciado"/>
        <w:spacing w:line="240" w:lineRule="exact"/>
        <w:rPr>
          <w:rFonts w:cs="Arial"/>
        </w:rPr>
      </w:pPr>
    </w:p>
    <w:p w:rsidR="00DE26FB" w:rsidRPr="00DE26FB" w:rsidRDefault="00DE26FB" w:rsidP="00DE26FB">
      <w:pPr>
        <w:spacing w:line="240" w:lineRule="exact"/>
        <w:jc w:val="both"/>
        <w:rPr>
          <w:rFonts w:ascii="Arial" w:eastAsia="Roboto Serif" w:hAnsi="Arial" w:cs="Arial"/>
        </w:rPr>
      </w:pPr>
      <w:r w:rsidRPr="00DE26FB">
        <w:rPr>
          <w:rFonts w:ascii="Arial" w:eastAsia="Roboto Serif" w:hAnsi="Arial" w:cs="Arial"/>
          <w:b/>
        </w:rPr>
        <w:t>Artículo 1. Objeto</w:t>
      </w:r>
      <w:r w:rsidRPr="00DE26FB">
        <w:rPr>
          <w:rFonts w:ascii="Arial" w:eastAsia="Roboto Serif" w:hAnsi="Arial" w:cs="Arial"/>
        </w:rPr>
        <w:t>:</w:t>
      </w:r>
      <w:r>
        <w:rPr>
          <w:rFonts w:ascii="Arial" w:eastAsia="Roboto Serif" w:hAnsi="Arial" w:cs="Arial"/>
        </w:rPr>
        <w:t xml:space="preserve"> Modificar la Ley 1566 del 2012 y </w:t>
      </w:r>
      <w:r w:rsidRPr="00DE26FB">
        <w:rPr>
          <w:rFonts w:ascii="Arial" w:eastAsia="Roboto Serif" w:hAnsi="Arial" w:cs="Arial"/>
        </w:rPr>
        <w:t xml:space="preserve">establecer lineamientos y acciones para una política de reducción de riesgos y daños para personas que consumen sustancias psicoactivas que hará parte de la Política Integral para la Prevención y Atención del Consumo de Sustancias Psicoactivas. </w:t>
      </w:r>
    </w:p>
    <w:p w:rsidR="001009BF" w:rsidRPr="00BE62E6" w:rsidRDefault="001009BF" w:rsidP="001009BF">
      <w:pPr>
        <w:pStyle w:val="Sinespaciado"/>
        <w:spacing w:line="240" w:lineRule="exact"/>
        <w:rPr>
          <w:rFonts w:cs="Arial"/>
          <w:color w:val="000000" w:themeColor="text1"/>
          <w:lang w:val="es-ES_tradnl"/>
        </w:rPr>
      </w:pPr>
      <w:r w:rsidRPr="00BE62E6">
        <w:rPr>
          <w:rFonts w:cs="Arial"/>
          <w:b/>
          <w:bCs/>
          <w:color w:val="000000" w:themeColor="text1"/>
          <w:lang w:val="es-ES_tradnl"/>
        </w:rPr>
        <w:t>Artículo 2. Reducción del riesgo y del daño</w:t>
      </w:r>
      <w:r w:rsidRPr="00174852">
        <w:rPr>
          <w:rFonts w:cs="Arial"/>
          <w:b/>
          <w:bCs/>
          <w:color w:val="000000" w:themeColor="text1"/>
          <w:lang w:val="es-ES_tradnl"/>
        </w:rPr>
        <w:t>.</w:t>
      </w:r>
      <w:r w:rsidRPr="00174852">
        <w:rPr>
          <w:rFonts w:cs="Arial"/>
          <w:color w:val="000000" w:themeColor="text1"/>
          <w:lang w:val="es-ES_tradnl"/>
        </w:rPr>
        <w:t xml:space="preserve"> La</w:t>
      </w:r>
      <w:r w:rsidR="00174852" w:rsidRPr="00174852">
        <w:rPr>
          <w:rFonts w:cs="Arial"/>
          <w:b/>
          <w:bCs/>
          <w:color w:val="000000" w:themeColor="text1"/>
          <w:lang w:val="es-ES_tradnl"/>
        </w:rPr>
        <w:t xml:space="preserve"> </w:t>
      </w:r>
      <w:r w:rsidRPr="00174852">
        <w:rPr>
          <w:rFonts w:cs="Arial"/>
          <w:bCs/>
          <w:color w:val="000000" w:themeColor="text1"/>
          <w:lang w:val="es-ES_tradnl"/>
        </w:rPr>
        <w:t>política</w:t>
      </w:r>
      <w:r w:rsidRPr="00BE62E6">
        <w:rPr>
          <w:rFonts w:cs="Arial"/>
          <w:bCs/>
          <w:color w:val="000000" w:themeColor="text1"/>
          <w:lang w:val="es-ES_tradnl"/>
        </w:rPr>
        <w:t xml:space="preserve"> de</w:t>
      </w:r>
      <w:r w:rsidRPr="00BE62E6">
        <w:rPr>
          <w:rFonts w:cs="Arial"/>
          <w:color w:val="000000" w:themeColor="text1"/>
          <w:lang w:val="es-ES_tradnl"/>
        </w:rPr>
        <w:t xml:space="preserve"> reducción de riesgos y daños en el uso y consumo de sustancias psicoactivas lícitas e ilícitas se reconocerá como un enfoque de salud pública necesario para preservar la salud de los habitantes de la nación</w:t>
      </w:r>
      <w:r>
        <w:rPr>
          <w:rFonts w:cs="Arial"/>
          <w:color w:val="000000" w:themeColor="text1"/>
          <w:lang w:val="es-ES_tradnl"/>
        </w:rPr>
        <w:t xml:space="preserve">, centrándose en disminuir las afectaciones derivadas del consumo de sustancias psicoactivas. </w:t>
      </w:r>
      <w:r w:rsidR="00174852">
        <w:rPr>
          <w:rFonts w:cs="Arial"/>
          <w:color w:val="000000" w:themeColor="text1"/>
          <w:lang w:val="es-ES_tradnl"/>
        </w:rPr>
        <w:t>Su</w:t>
      </w:r>
      <w:r w:rsidRPr="00BE62E6">
        <w:rPr>
          <w:rFonts w:cs="Arial"/>
          <w:color w:val="000000" w:themeColor="text1"/>
          <w:lang w:val="es-ES_tradnl"/>
        </w:rPr>
        <w:t xml:space="preserve"> implementación considerará estrategias basadas en la evidencia científica y enfoques interseccionales diferenciados de acuerdo con las necesidades y los contextos sociales, </w:t>
      </w:r>
      <w:r w:rsidRPr="00BE62E6">
        <w:rPr>
          <w:rFonts w:cs="Arial"/>
          <w:bCs/>
          <w:color w:val="000000" w:themeColor="text1"/>
          <w:lang w:val="es-ES_tradnl"/>
        </w:rPr>
        <w:t>las</w:t>
      </w:r>
      <w:r w:rsidRPr="00BE62E6">
        <w:rPr>
          <w:rFonts w:cs="Arial"/>
          <w:color w:val="000000" w:themeColor="text1"/>
          <w:lang w:val="es-ES_tradnl"/>
        </w:rPr>
        <w:t xml:space="preserve"> dinámicas de consumo de sustancias psicoactivas y </w:t>
      </w:r>
      <w:r w:rsidRPr="00BE62E6">
        <w:rPr>
          <w:rFonts w:cs="Arial"/>
          <w:bCs/>
          <w:color w:val="000000" w:themeColor="text1"/>
          <w:lang w:val="es-ES_tradnl"/>
        </w:rPr>
        <w:t xml:space="preserve">las </w:t>
      </w:r>
      <w:r w:rsidRPr="00BE62E6">
        <w:rPr>
          <w:rFonts w:cs="Arial"/>
          <w:color w:val="000000" w:themeColor="text1"/>
          <w:lang w:val="es-ES_tradnl"/>
        </w:rPr>
        <w:t>necesidad</w:t>
      </w:r>
      <w:r w:rsidRPr="00BE62E6">
        <w:rPr>
          <w:rFonts w:cs="Arial"/>
          <w:bCs/>
          <w:color w:val="000000" w:themeColor="text1"/>
          <w:lang w:val="es-ES_tradnl"/>
        </w:rPr>
        <w:t>es</w:t>
      </w:r>
      <w:r w:rsidRPr="00BE62E6">
        <w:rPr>
          <w:rFonts w:cs="Arial"/>
          <w:color w:val="000000" w:themeColor="text1"/>
          <w:lang w:val="es-ES_tradnl"/>
        </w:rPr>
        <w:t xml:space="preserve"> de salud pública.</w:t>
      </w:r>
    </w:p>
    <w:p w:rsidR="001009BF" w:rsidRPr="00BE62E6" w:rsidRDefault="001009BF" w:rsidP="001009BF">
      <w:pPr>
        <w:pStyle w:val="Sinespaciado"/>
        <w:spacing w:line="240" w:lineRule="exact"/>
        <w:rPr>
          <w:rFonts w:cs="Arial"/>
          <w:color w:val="000000" w:themeColor="text1"/>
          <w:lang w:val="es-ES_tradnl"/>
        </w:rPr>
      </w:pPr>
    </w:p>
    <w:p w:rsidR="001009BF" w:rsidRPr="00BE62E6" w:rsidRDefault="001009BF" w:rsidP="001009BF">
      <w:pPr>
        <w:pStyle w:val="Sinespaciado"/>
        <w:spacing w:line="240" w:lineRule="exact"/>
        <w:rPr>
          <w:rFonts w:cs="Arial"/>
          <w:strike/>
          <w:color w:val="000000" w:themeColor="text1"/>
          <w:lang w:val="es-ES_tradnl"/>
        </w:rPr>
      </w:pPr>
      <w:r w:rsidRPr="00BE62E6">
        <w:rPr>
          <w:rFonts w:cs="Arial"/>
          <w:color w:val="000000" w:themeColor="text1"/>
          <w:lang w:val="es-ES_tradnl"/>
        </w:rPr>
        <w:t>Este enfoque complementará y no reemplazará los esfuerzos estatales respecto a la prevención del consumo de sustancias psicoactivas</w:t>
      </w:r>
      <w:r w:rsidR="00911AA0">
        <w:rPr>
          <w:rFonts w:cs="Arial"/>
          <w:color w:val="000000" w:themeColor="text1"/>
          <w:lang w:val="es-ES_tradnl"/>
        </w:rPr>
        <w:t xml:space="preserve">, y estará en armonía con la normatividad que protege a los niños, niñas y adolescentes del consumo de sustancias </w:t>
      </w:r>
      <w:r w:rsidR="007976F4">
        <w:rPr>
          <w:rFonts w:cs="Arial"/>
          <w:color w:val="000000" w:themeColor="text1"/>
          <w:lang w:val="es-ES_tradnl"/>
        </w:rPr>
        <w:t>psicoactivas</w:t>
      </w:r>
      <w:r w:rsidRPr="00BE62E6">
        <w:rPr>
          <w:rFonts w:cs="Arial"/>
          <w:color w:val="000000" w:themeColor="text1"/>
          <w:lang w:val="es-ES_tradnl"/>
        </w:rPr>
        <w:t xml:space="preserve">. </w:t>
      </w:r>
      <w:r w:rsidRPr="00BE62E6">
        <w:rPr>
          <w:rFonts w:cs="Arial"/>
          <w:bCs/>
          <w:color w:val="000000" w:themeColor="text1"/>
          <w:lang w:val="es-ES_tradnl"/>
        </w:rPr>
        <w:t xml:space="preserve">La política de </w:t>
      </w:r>
      <w:r w:rsidRPr="00BE62E6">
        <w:rPr>
          <w:rFonts w:cs="Arial"/>
          <w:color w:val="000000" w:themeColor="text1"/>
          <w:lang w:val="es-ES_tradnl"/>
        </w:rPr>
        <w:t xml:space="preserve">reducción de riesgos y daños deberá centrarse en el cuidado y la protección de la integridad física, mental y social del individuo, </w:t>
      </w:r>
      <w:r w:rsidRPr="00BE62E6">
        <w:rPr>
          <w:rFonts w:cs="Arial"/>
          <w:bCs/>
          <w:color w:val="000000" w:themeColor="text1"/>
          <w:lang w:val="es-ES_tradnl"/>
        </w:rPr>
        <w:t>teniendo en cuenta los siguientes lineamientos:</w:t>
      </w:r>
      <w:r w:rsidRPr="00BE62E6">
        <w:rPr>
          <w:rFonts w:cs="Arial"/>
          <w:color w:val="000000" w:themeColor="text1"/>
          <w:lang w:val="es-ES_tradnl"/>
        </w:rPr>
        <w:t xml:space="preserve"> </w:t>
      </w:r>
    </w:p>
    <w:p w:rsidR="001009BF" w:rsidRPr="00BE62E6" w:rsidRDefault="001009BF" w:rsidP="001009BF">
      <w:pPr>
        <w:pStyle w:val="Sinespaciado"/>
        <w:spacing w:line="240" w:lineRule="exact"/>
        <w:rPr>
          <w:rFonts w:cs="Arial"/>
          <w:color w:val="000000" w:themeColor="text1"/>
          <w:lang w:val="es-ES_tradnl"/>
        </w:rPr>
      </w:pPr>
    </w:p>
    <w:p w:rsidR="001009BF" w:rsidRPr="00BE62E6" w:rsidRDefault="001009BF" w:rsidP="001009BF">
      <w:pPr>
        <w:pStyle w:val="Sinespaciado"/>
        <w:numPr>
          <w:ilvl w:val="0"/>
          <w:numId w:val="7"/>
        </w:numPr>
        <w:spacing w:line="240" w:lineRule="exact"/>
        <w:rPr>
          <w:rFonts w:cs="Arial"/>
          <w:color w:val="000000" w:themeColor="text1"/>
          <w:lang w:val="es-ES_tradnl"/>
        </w:rPr>
      </w:pPr>
      <w:r w:rsidRPr="00BE62E6">
        <w:rPr>
          <w:rFonts w:cs="Arial"/>
          <w:color w:val="000000" w:themeColor="text1"/>
          <w:lang w:val="es-ES_tradnl"/>
        </w:rPr>
        <w:t>Propendiendo por el acceso a la información adecuada y oportuna sobre buenas prácticas de cuidado herramientas e información para la disminución del riesgo y mitigación del daño.</w:t>
      </w:r>
    </w:p>
    <w:p w:rsidR="001009BF" w:rsidRPr="00BE62E6" w:rsidRDefault="001009BF" w:rsidP="001009BF">
      <w:pPr>
        <w:pStyle w:val="Sinespaciado"/>
        <w:numPr>
          <w:ilvl w:val="0"/>
          <w:numId w:val="7"/>
        </w:numPr>
        <w:spacing w:line="240" w:lineRule="exact"/>
        <w:rPr>
          <w:rFonts w:cs="Arial"/>
          <w:color w:val="000000" w:themeColor="text1"/>
          <w:lang w:val="es-ES_tradnl"/>
        </w:rPr>
      </w:pPr>
      <w:r w:rsidRPr="00BE62E6">
        <w:rPr>
          <w:rFonts w:cs="Arial"/>
          <w:color w:val="000000" w:themeColor="text1"/>
          <w:lang w:val="es-ES_tradnl"/>
        </w:rPr>
        <w:t xml:space="preserve">Monitoreando y alertando eventuales riesgos químicos por el </w:t>
      </w:r>
      <w:r w:rsidRPr="00BE62E6">
        <w:rPr>
          <w:rFonts w:cs="Arial"/>
          <w:bCs/>
          <w:color w:val="000000" w:themeColor="text1"/>
          <w:lang w:val="es-ES_tradnl"/>
        </w:rPr>
        <w:t xml:space="preserve">consumo </w:t>
      </w:r>
      <w:r w:rsidRPr="00BE62E6">
        <w:rPr>
          <w:rFonts w:cs="Arial"/>
          <w:color w:val="000000" w:themeColor="text1"/>
          <w:lang w:val="es-ES_tradnl"/>
        </w:rPr>
        <w:t>de sustancias psicoactivas lícitas e ilícitas que estén en circulación en territorios específicos.</w:t>
      </w:r>
    </w:p>
    <w:p w:rsidR="001009BF" w:rsidRPr="00BE62E6" w:rsidRDefault="001009BF" w:rsidP="001009BF">
      <w:pPr>
        <w:pStyle w:val="Sinespaciado"/>
        <w:numPr>
          <w:ilvl w:val="0"/>
          <w:numId w:val="7"/>
        </w:numPr>
        <w:spacing w:line="240" w:lineRule="exact"/>
        <w:rPr>
          <w:rFonts w:cs="Arial"/>
          <w:color w:val="000000" w:themeColor="text1"/>
          <w:lang w:val="es-ES_tradnl"/>
        </w:rPr>
      </w:pPr>
      <w:r w:rsidRPr="00BE62E6">
        <w:rPr>
          <w:rFonts w:cs="Arial"/>
          <w:color w:val="000000" w:themeColor="text1"/>
          <w:lang w:val="es-ES_tradnl"/>
        </w:rPr>
        <w:t xml:space="preserve">Garantizando el adecuado acceso a los servicios de salud </w:t>
      </w:r>
      <w:r w:rsidRPr="00BE62E6">
        <w:rPr>
          <w:rFonts w:cs="Arial"/>
          <w:bCs/>
          <w:color w:val="000000" w:themeColor="text1"/>
          <w:lang w:val="es-ES_tradnl"/>
        </w:rPr>
        <w:t xml:space="preserve">para las personas que consumen sustancias psicoactivas </w:t>
      </w:r>
      <w:r w:rsidRPr="00BE62E6">
        <w:rPr>
          <w:rFonts w:cs="Arial"/>
          <w:color w:val="000000" w:themeColor="text1"/>
          <w:lang w:val="es-ES_tradnl"/>
        </w:rPr>
        <w:t xml:space="preserve">en caso de ser requeridos. </w:t>
      </w:r>
    </w:p>
    <w:p w:rsidR="001009BF" w:rsidRDefault="001009BF" w:rsidP="001009BF">
      <w:pPr>
        <w:pStyle w:val="Sinespaciado"/>
        <w:numPr>
          <w:ilvl w:val="0"/>
          <w:numId w:val="7"/>
        </w:numPr>
        <w:spacing w:line="240" w:lineRule="exact"/>
        <w:rPr>
          <w:rFonts w:cs="Arial"/>
          <w:color w:val="000000" w:themeColor="text1"/>
          <w:lang w:val="es-ES_tradnl"/>
        </w:rPr>
      </w:pPr>
      <w:r w:rsidRPr="00BE62E6">
        <w:rPr>
          <w:rFonts w:cs="Arial"/>
          <w:color w:val="000000" w:themeColor="text1"/>
          <w:lang w:val="es-ES_tradnl"/>
        </w:rPr>
        <w:t xml:space="preserve">Desarrollando políticas y programas diferenciados para el cuidado y protección de la salud pública y la especial atención a </w:t>
      </w:r>
      <w:r w:rsidR="00174852">
        <w:rPr>
          <w:rFonts w:cs="Arial"/>
          <w:color w:val="000000" w:themeColor="text1"/>
          <w:lang w:val="es-ES_tradnl"/>
        </w:rPr>
        <w:t xml:space="preserve">problemas de </w:t>
      </w:r>
      <w:r w:rsidRPr="00BE62E6">
        <w:rPr>
          <w:rFonts w:cs="Arial"/>
          <w:color w:val="000000" w:themeColor="text1"/>
          <w:lang w:val="es-ES_tradnl"/>
        </w:rPr>
        <w:t>consumo</w:t>
      </w:r>
      <w:r w:rsidR="00911AA0">
        <w:rPr>
          <w:rFonts w:cs="Arial"/>
          <w:color w:val="000000" w:themeColor="text1"/>
          <w:lang w:val="es-ES_tradnl"/>
        </w:rPr>
        <w:t xml:space="preserve"> </w:t>
      </w:r>
      <w:r w:rsidRPr="00BE62E6">
        <w:rPr>
          <w:rFonts w:cs="Arial"/>
          <w:color w:val="000000" w:themeColor="text1"/>
          <w:lang w:val="es-ES_tradnl"/>
        </w:rPr>
        <w:t>teniendo en cuenta la perspectiva étnica, de género y poblaciones en condición de vulnerabilidad.</w:t>
      </w:r>
    </w:p>
    <w:p w:rsidR="00911AA0" w:rsidRDefault="00911AA0" w:rsidP="001009BF">
      <w:pPr>
        <w:pStyle w:val="Sinespaciado"/>
        <w:numPr>
          <w:ilvl w:val="0"/>
          <w:numId w:val="7"/>
        </w:numPr>
        <w:spacing w:line="240" w:lineRule="exact"/>
        <w:rPr>
          <w:rFonts w:cs="Arial"/>
          <w:color w:val="000000" w:themeColor="text1"/>
          <w:lang w:val="es-ES_tradnl"/>
        </w:rPr>
      </w:pPr>
      <w:r>
        <w:rPr>
          <w:rFonts w:cs="Arial"/>
          <w:color w:val="000000" w:themeColor="text1"/>
          <w:lang w:val="es-ES_tradnl"/>
        </w:rPr>
        <w:t xml:space="preserve">Otorgando herramientas persuasivas para exponer los riesgos y disminuir los daños, y con ello lograr un efecto diasuasorio al consumo y de educación para la salud. </w:t>
      </w:r>
    </w:p>
    <w:p w:rsidR="00DE26FB" w:rsidRPr="001009BF" w:rsidRDefault="001009BF" w:rsidP="001009BF">
      <w:pPr>
        <w:pStyle w:val="Sinespaciado"/>
        <w:numPr>
          <w:ilvl w:val="0"/>
          <w:numId w:val="7"/>
        </w:numPr>
        <w:spacing w:line="240" w:lineRule="exact"/>
        <w:rPr>
          <w:rFonts w:cs="Arial"/>
          <w:color w:val="000000" w:themeColor="text1"/>
          <w:lang w:val="es-ES_tradnl"/>
        </w:rPr>
      </w:pPr>
      <w:r w:rsidRPr="001009BF">
        <w:rPr>
          <w:rFonts w:cs="Arial"/>
          <w:color w:val="000000" w:themeColor="text1"/>
          <w:lang w:val="es-ES_tradnl"/>
        </w:rPr>
        <w:t>Los demás objetivos que la política pública defina con base a la evidencia científica disponible.</w:t>
      </w:r>
    </w:p>
    <w:p w:rsidR="001009BF" w:rsidRPr="001009BF" w:rsidRDefault="001009BF" w:rsidP="001009BF">
      <w:pPr>
        <w:pStyle w:val="Sinespaciado"/>
        <w:spacing w:line="240" w:lineRule="exact"/>
        <w:ind w:left="720"/>
        <w:rPr>
          <w:rFonts w:cs="Arial"/>
          <w:color w:val="000000" w:themeColor="text1"/>
          <w:lang w:val="es-ES_tradnl"/>
        </w:rPr>
      </w:pPr>
    </w:p>
    <w:p w:rsidR="00DE26FB" w:rsidRPr="00DE26FB" w:rsidRDefault="00DE26FB" w:rsidP="00DE26FB">
      <w:pPr>
        <w:spacing w:line="240" w:lineRule="exact"/>
        <w:jc w:val="both"/>
        <w:rPr>
          <w:rFonts w:ascii="Arial" w:eastAsia="Roboto Serif" w:hAnsi="Arial" w:cs="Arial"/>
        </w:rPr>
      </w:pPr>
      <w:r w:rsidRPr="00DE26FB">
        <w:rPr>
          <w:rFonts w:ascii="Arial" w:eastAsia="Roboto Serif" w:hAnsi="Arial" w:cs="Arial"/>
          <w:b/>
        </w:rPr>
        <w:lastRenderedPageBreak/>
        <w:t>Artículo 3. Modifíquese</w:t>
      </w:r>
      <w:r w:rsidRPr="00DE26FB">
        <w:rPr>
          <w:rFonts w:ascii="Arial" w:eastAsia="Roboto Serif" w:hAnsi="Arial" w:cs="Arial"/>
        </w:rPr>
        <w:t xml:space="preserve"> el parágrafo 3 del artículo 2° de la Ley 1566 del 2012, el cual quedará así: </w:t>
      </w:r>
    </w:p>
    <w:p w:rsidR="00DE26FB" w:rsidRPr="000E29EC" w:rsidRDefault="00DE26FB" w:rsidP="000E29EC">
      <w:pPr>
        <w:spacing w:line="240" w:lineRule="exact"/>
        <w:jc w:val="both"/>
        <w:rPr>
          <w:rFonts w:ascii="Arial" w:eastAsia="Roboto Serif" w:hAnsi="Arial" w:cs="Arial"/>
          <w:shd w:val="clear" w:color="auto" w:fill="FF9900"/>
        </w:rPr>
      </w:pPr>
      <w:r w:rsidRPr="000E29EC">
        <w:rPr>
          <w:rFonts w:ascii="Arial" w:eastAsia="Roboto Serif" w:hAnsi="Arial" w:cs="Arial"/>
          <w:b/>
          <w:color w:val="333333"/>
        </w:rPr>
        <w:t>Parágrafo 3°</w:t>
      </w:r>
      <w:r w:rsidRPr="000E29EC">
        <w:rPr>
          <w:rFonts w:ascii="Arial" w:eastAsia="Roboto Serif" w:hAnsi="Arial" w:cs="Arial"/>
          <w:color w:val="333333"/>
        </w:rPr>
        <w:t xml:space="preserve">. Sin perjuicio de otras fuentes de financiación, podrá utilizarse recursos del Fondo para la Rehabilitación, Inversión Social y Lucha contra el Crimen Organizado –FRISCO– para el fortalecimiento de los programas </w:t>
      </w:r>
      <w:r w:rsidRPr="000E29EC">
        <w:rPr>
          <w:rFonts w:ascii="Arial" w:eastAsia="Roboto Serif" w:hAnsi="Arial" w:cs="Arial"/>
        </w:rPr>
        <w:t>y estrategias de reducción de riesgos y daños,</w:t>
      </w:r>
      <w:r w:rsidRPr="000E29EC">
        <w:rPr>
          <w:rFonts w:ascii="Arial" w:eastAsia="Roboto Serif" w:hAnsi="Arial" w:cs="Arial"/>
          <w:color w:val="333333"/>
        </w:rPr>
        <w:t xml:space="preserve"> prevención en salud, mitigación, superación y desarrollo institucional, que se establezcan en el marco de la Política Nacional para la reducción del consumo de sustancias estupefacientes o psicotrópicas y su impacto. </w:t>
      </w:r>
    </w:p>
    <w:p w:rsidR="00DE26FB" w:rsidRPr="00DE26FB" w:rsidRDefault="00DE26FB" w:rsidP="00DE26FB">
      <w:pPr>
        <w:spacing w:before="240" w:after="240" w:line="240" w:lineRule="exact"/>
        <w:jc w:val="both"/>
        <w:rPr>
          <w:rFonts w:ascii="Arial" w:eastAsia="Roboto Serif" w:hAnsi="Arial" w:cs="Arial"/>
          <w:color w:val="333333"/>
        </w:rPr>
      </w:pPr>
      <w:r w:rsidRPr="00DE26FB">
        <w:rPr>
          <w:rFonts w:ascii="Arial" w:eastAsia="Roboto Serif" w:hAnsi="Arial" w:cs="Arial"/>
          <w:b/>
          <w:color w:val="333333"/>
        </w:rPr>
        <w:t>Artículo 4. Adiciónese</w:t>
      </w:r>
      <w:r w:rsidRPr="00DE26FB">
        <w:rPr>
          <w:rFonts w:ascii="Arial" w:eastAsia="Roboto Serif" w:hAnsi="Arial" w:cs="Arial"/>
          <w:color w:val="333333"/>
        </w:rPr>
        <w:t xml:space="preserve"> un artículo nuevo a la Ley 1566 del 2012, el cual quedará así: </w:t>
      </w:r>
    </w:p>
    <w:p w:rsidR="009A1DCA" w:rsidRPr="007A3EA9" w:rsidRDefault="009A1DCA" w:rsidP="009A1DCA">
      <w:pPr>
        <w:pStyle w:val="Sinespaciado"/>
        <w:spacing w:line="240" w:lineRule="exact"/>
        <w:rPr>
          <w:rFonts w:cs="Arial"/>
          <w:iCs/>
          <w:noProof/>
          <w:lang w:val="es-ES_tradnl" w:eastAsia="es-CO"/>
        </w:rPr>
      </w:pPr>
      <w:r w:rsidRPr="007A3EA9">
        <w:rPr>
          <w:rFonts w:cs="Arial"/>
          <w:b/>
          <w:iCs/>
          <w:noProof/>
          <w:lang w:val="es-ES_tradnl" w:eastAsia="es-CO"/>
        </w:rPr>
        <w:t>Artículo 3A. Servicios de reducción de riesgos y daños en el consumo de sustancias psicoactivas.</w:t>
      </w:r>
      <w:r w:rsidRPr="007A3EA9">
        <w:rPr>
          <w:rFonts w:cs="Arial"/>
          <w:iCs/>
          <w:noProof/>
          <w:lang w:val="es-ES_tradnl" w:eastAsia="es-CO"/>
        </w:rPr>
        <w:t xml:space="preserve"> Los servicios de reducción de riesgos y daños para las personas que consumen sustancias psicoactivas deberán enmarcarse en lineamientos de política de salud pública definida por el Ministerio de Salud y Protección Social y la Política Nacional de Drogas. Dichos servicios podrán ser prestados por el Ministerio de Salud y Protección Social y por las entidades territoriales, las cuales deberán incluir las acciones dentro de sus planes de salud pública y deberán considerar estrategias específicas para las personas con </w:t>
      </w:r>
      <w:r w:rsidR="000E29EC">
        <w:rPr>
          <w:rFonts w:cs="Arial"/>
          <w:iCs/>
          <w:noProof/>
          <w:lang w:val="es-ES_tradnl" w:eastAsia="es-CO"/>
        </w:rPr>
        <w:t xml:space="preserve">problemas de consumo </w:t>
      </w:r>
      <w:r w:rsidRPr="007A3EA9">
        <w:rPr>
          <w:rFonts w:cs="Arial"/>
          <w:iCs/>
          <w:noProof/>
          <w:lang w:val="es-ES_tradnl" w:eastAsia="es-CO"/>
        </w:rPr>
        <w:t xml:space="preserve">que no son atendidas por el sistema de salud. Algunos de los servicios que podrán prestarse serán el análisis de sustancias, la pedagogía para la reducción de riesgos y daños, la utilización de tecnologías médicas de atención temprana, entre otras que defina la política. </w:t>
      </w:r>
    </w:p>
    <w:p w:rsidR="009A1DCA" w:rsidRPr="007A3EA9" w:rsidRDefault="009A1DCA" w:rsidP="009A1DCA">
      <w:pPr>
        <w:pStyle w:val="Sinespaciado"/>
        <w:spacing w:line="240" w:lineRule="exact"/>
        <w:ind w:left="709"/>
        <w:rPr>
          <w:rFonts w:cs="Arial"/>
          <w:iCs/>
          <w:noProof/>
          <w:lang w:val="es-ES_tradnl" w:eastAsia="es-CO"/>
        </w:rPr>
      </w:pPr>
    </w:p>
    <w:p w:rsidR="009A1DCA" w:rsidRPr="007A3EA9" w:rsidRDefault="009A1DCA" w:rsidP="009A1DCA">
      <w:pPr>
        <w:pStyle w:val="Sinespaciado"/>
        <w:spacing w:line="240" w:lineRule="exact"/>
        <w:rPr>
          <w:rFonts w:cs="Arial"/>
          <w:iCs/>
          <w:noProof/>
          <w:lang w:val="es-ES_tradnl" w:eastAsia="es-CO"/>
        </w:rPr>
      </w:pPr>
      <w:r w:rsidRPr="007A3EA9">
        <w:rPr>
          <w:rFonts w:cs="Arial"/>
          <w:iCs/>
          <w:noProof/>
          <w:lang w:val="es-ES_tradnl" w:eastAsia="es-CO"/>
        </w:rPr>
        <w:t xml:space="preserve">Se autoriza el uso de recursos provenientes del Fondo FRISCO para la financiación de estas iniciativas. </w:t>
      </w:r>
    </w:p>
    <w:p w:rsidR="009A1DCA" w:rsidRPr="007A3EA9" w:rsidRDefault="009A1DCA" w:rsidP="009A1DCA">
      <w:pPr>
        <w:pStyle w:val="Sinespaciado"/>
        <w:spacing w:line="240" w:lineRule="exact"/>
        <w:ind w:left="709"/>
        <w:rPr>
          <w:rFonts w:cs="Arial"/>
          <w:iCs/>
          <w:noProof/>
          <w:lang w:val="es-ES_tradnl" w:eastAsia="es-CO"/>
        </w:rPr>
      </w:pPr>
    </w:p>
    <w:p w:rsidR="009A1DCA" w:rsidRPr="007A3EA9" w:rsidRDefault="009A1DCA" w:rsidP="009A1DCA">
      <w:pPr>
        <w:pStyle w:val="Sinespaciado"/>
        <w:spacing w:line="240" w:lineRule="exact"/>
        <w:rPr>
          <w:rFonts w:cs="Arial"/>
          <w:iCs/>
          <w:noProof/>
          <w:lang w:val="es-ES_tradnl" w:eastAsia="es-CO"/>
        </w:rPr>
      </w:pPr>
      <w:r w:rsidRPr="007A3EA9">
        <w:rPr>
          <w:rFonts w:cs="Arial"/>
          <w:b/>
          <w:iCs/>
          <w:noProof/>
          <w:lang w:val="es-ES_tradnl" w:eastAsia="es-CO"/>
        </w:rPr>
        <w:t>Parágrafo 1°.</w:t>
      </w:r>
      <w:r w:rsidRPr="007A3EA9">
        <w:rPr>
          <w:rFonts w:cs="Arial"/>
          <w:iCs/>
          <w:noProof/>
          <w:lang w:val="es-ES_tradnl" w:eastAsia="es-CO"/>
        </w:rPr>
        <w:t xml:space="preserve"> Las Entidades Administradoras de Planes de Beneficios, </w:t>
      </w:r>
      <w:r w:rsidRPr="007A3EA9">
        <w:rPr>
          <w:rFonts w:cs="Arial"/>
          <w:bCs/>
          <w:iCs/>
          <w:noProof/>
          <w:lang w:val="es-ES_tradnl" w:eastAsia="es-CO"/>
        </w:rPr>
        <w:t xml:space="preserve">o quienes hagan sus veces,  </w:t>
      </w:r>
      <w:r w:rsidRPr="007A3EA9">
        <w:rPr>
          <w:rFonts w:cs="Arial"/>
          <w:iCs/>
          <w:noProof/>
          <w:lang w:val="es-ES_tradnl" w:eastAsia="es-CO"/>
        </w:rPr>
        <w:t xml:space="preserve">podrán prestar servicios de reducción de riesgos y daños en el consumo de sustancias psicoactivas a través de sus programas de promoción y prevención (PYP), de conformidad con los lineamientos </w:t>
      </w:r>
      <w:r w:rsidRPr="007A3EA9">
        <w:rPr>
          <w:rFonts w:cs="Arial"/>
          <w:bCs/>
          <w:iCs/>
          <w:noProof/>
          <w:lang w:val="es-ES_tradnl" w:eastAsia="es-CO"/>
        </w:rPr>
        <w:t>establecidos por</w:t>
      </w:r>
      <w:r w:rsidRPr="007A3EA9">
        <w:rPr>
          <w:rFonts w:cs="Arial"/>
          <w:iCs/>
          <w:noProof/>
          <w:lang w:val="es-ES_tradnl" w:eastAsia="es-CO"/>
        </w:rPr>
        <w:t xml:space="preserve"> el Minister</w:t>
      </w:r>
      <w:r w:rsidR="000E29EC">
        <w:rPr>
          <w:rFonts w:cs="Arial"/>
          <w:iCs/>
          <w:noProof/>
          <w:lang w:val="es-ES_tradnl" w:eastAsia="es-CO"/>
        </w:rPr>
        <w:t>io de Salud y Protección Social, con cargo a los recursos dest</w:t>
      </w:r>
      <w:r w:rsidR="00804C5A">
        <w:rPr>
          <w:rFonts w:cs="Arial"/>
          <w:iCs/>
          <w:noProof/>
          <w:lang w:val="es-ES_tradnl" w:eastAsia="es-CO"/>
        </w:rPr>
        <w:t>i</w:t>
      </w:r>
      <w:bookmarkStart w:id="0" w:name="_GoBack"/>
      <w:bookmarkEnd w:id="0"/>
      <w:r w:rsidR="000E29EC">
        <w:rPr>
          <w:rFonts w:cs="Arial"/>
          <w:iCs/>
          <w:noProof/>
          <w:lang w:val="es-ES_tradnl" w:eastAsia="es-CO"/>
        </w:rPr>
        <w:t>nados al financiamiento del Plan de Beneficios</w:t>
      </w:r>
      <w:r w:rsidR="00611C4A">
        <w:rPr>
          <w:rFonts w:cs="Arial"/>
          <w:iCs/>
          <w:noProof/>
          <w:lang w:val="es-ES_tradnl" w:eastAsia="es-CO"/>
        </w:rPr>
        <w:t xml:space="preserve"> en Salud –PBS-.</w:t>
      </w:r>
      <w:r w:rsidRPr="007A3EA9">
        <w:rPr>
          <w:rFonts w:cs="Arial"/>
          <w:iCs/>
          <w:noProof/>
          <w:lang w:val="es-ES_tradnl" w:eastAsia="es-CO"/>
        </w:rPr>
        <w:t xml:space="preserve"> </w:t>
      </w:r>
    </w:p>
    <w:p w:rsidR="009A1DCA" w:rsidRPr="007A3EA9" w:rsidRDefault="009A1DCA" w:rsidP="009A1DCA">
      <w:pPr>
        <w:pStyle w:val="Sinespaciado"/>
        <w:spacing w:line="240" w:lineRule="exact"/>
        <w:ind w:left="709"/>
        <w:rPr>
          <w:rFonts w:cs="Arial"/>
          <w:iCs/>
          <w:noProof/>
          <w:lang w:eastAsia="es-CO"/>
        </w:rPr>
      </w:pPr>
    </w:p>
    <w:p w:rsidR="009A1DCA" w:rsidRPr="007A3EA9" w:rsidRDefault="009A1DCA" w:rsidP="009A1DCA">
      <w:pPr>
        <w:pStyle w:val="Sinespaciado"/>
        <w:spacing w:line="240" w:lineRule="exact"/>
        <w:rPr>
          <w:rFonts w:cs="Arial"/>
          <w:iCs/>
          <w:noProof/>
          <w:lang w:val="es-ES_tradnl" w:eastAsia="es-CO"/>
        </w:rPr>
      </w:pPr>
      <w:r w:rsidRPr="007A3EA9">
        <w:rPr>
          <w:rFonts w:cs="Arial"/>
          <w:b/>
          <w:iCs/>
          <w:noProof/>
          <w:lang w:val="es-ES_tradnl" w:eastAsia="es-CO"/>
        </w:rPr>
        <w:t>Parágrafo 2°</w:t>
      </w:r>
      <w:r w:rsidRPr="007A3EA9">
        <w:rPr>
          <w:rFonts w:cs="Arial"/>
          <w:iCs/>
          <w:noProof/>
          <w:lang w:val="es-ES_tradnl" w:eastAsia="es-CO"/>
        </w:rPr>
        <w:t xml:space="preserve">. El Ministerio de Salud y Protección Social definirá los lineamientos para que particulares presten servicios  </w:t>
      </w:r>
      <w:r w:rsidRPr="007A3EA9">
        <w:rPr>
          <w:rFonts w:cs="Arial"/>
          <w:bCs/>
          <w:iCs/>
          <w:noProof/>
          <w:lang w:val="es-ES_tradnl" w:eastAsia="es-CO"/>
        </w:rPr>
        <w:t>de reducción de riesgos y daños en el consumo de sustancias psicoactivas</w:t>
      </w:r>
      <w:r w:rsidRPr="007A3EA9">
        <w:rPr>
          <w:rFonts w:cs="Arial"/>
          <w:iCs/>
          <w:noProof/>
          <w:lang w:val="es-ES_tradnl" w:eastAsia="es-CO"/>
        </w:rPr>
        <w:t xml:space="preserve">. Estos lineamientos deberán reconocer y considerar </w:t>
      </w:r>
      <w:r w:rsidRPr="007A3EA9">
        <w:rPr>
          <w:rFonts w:cs="Arial"/>
          <w:bCs/>
          <w:iCs/>
          <w:noProof/>
          <w:lang w:val="es-ES_tradnl" w:eastAsia="es-CO"/>
        </w:rPr>
        <w:t xml:space="preserve">prioritariamente </w:t>
      </w:r>
      <w:r w:rsidRPr="007A3EA9">
        <w:rPr>
          <w:rFonts w:cs="Arial"/>
          <w:iCs/>
          <w:noProof/>
          <w:lang w:val="es-ES_tradnl" w:eastAsia="es-CO"/>
        </w:rPr>
        <w:t>a aquellos que acrediten experiencia en la materia.</w:t>
      </w:r>
    </w:p>
    <w:p w:rsidR="00DE26FB" w:rsidRPr="00DE26FB" w:rsidRDefault="00DE26FB" w:rsidP="00DE26FB">
      <w:pPr>
        <w:spacing w:before="240" w:after="240" w:line="240" w:lineRule="exact"/>
        <w:jc w:val="both"/>
        <w:rPr>
          <w:rFonts w:ascii="Arial" w:eastAsia="Roboto Serif" w:hAnsi="Arial" w:cs="Arial"/>
          <w:color w:val="333333"/>
        </w:rPr>
      </w:pPr>
      <w:r w:rsidRPr="00DE26FB">
        <w:rPr>
          <w:rFonts w:ascii="Arial" w:eastAsia="Roboto Serif" w:hAnsi="Arial" w:cs="Arial"/>
          <w:b/>
          <w:color w:val="333333"/>
        </w:rPr>
        <w:t>Artículo 5. Modifíquese</w:t>
      </w:r>
      <w:r w:rsidRPr="00DE26FB">
        <w:rPr>
          <w:rFonts w:ascii="Arial" w:eastAsia="Roboto Serif" w:hAnsi="Arial" w:cs="Arial"/>
          <w:color w:val="333333"/>
        </w:rPr>
        <w:t xml:space="preserve"> el artículo 4° de la Ley 1566 del 2012, el cual quedará así: </w:t>
      </w:r>
    </w:p>
    <w:p w:rsidR="00DE26FB" w:rsidRPr="00DE26FB" w:rsidRDefault="00C25D92" w:rsidP="00C25D92">
      <w:pPr>
        <w:spacing w:before="240" w:after="240" w:line="240" w:lineRule="exact"/>
        <w:jc w:val="both"/>
        <w:rPr>
          <w:rFonts w:ascii="Arial" w:eastAsia="Roboto Serif" w:hAnsi="Arial" w:cs="Arial"/>
          <w:color w:val="333333"/>
        </w:rPr>
      </w:pPr>
      <w:r w:rsidRPr="00235E8A">
        <w:rPr>
          <w:rFonts w:ascii="Arial" w:hAnsi="Arial" w:cs="Arial"/>
          <w:b/>
          <w:iCs/>
          <w:noProof/>
          <w:lang w:val="es-ES_tradnl" w:eastAsia="es-CO"/>
        </w:rPr>
        <w:t>Artículo 4°.</w:t>
      </w:r>
      <w:r w:rsidRPr="00235E8A">
        <w:rPr>
          <w:rFonts w:ascii="Arial" w:hAnsi="Arial" w:cs="Arial"/>
          <w:i/>
          <w:iCs/>
          <w:noProof/>
          <w:lang w:val="es-ES_tradnl" w:eastAsia="es-CO"/>
        </w:rPr>
        <w:t xml:space="preserve"> </w:t>
      </w:r>
      <w:r w:rsidRPr="00C25D92">
        <w:rPr>
          <w:rFonts w:ascii="Arial" w:hAnsi="Arial" w:cs="Arial"/>
          <w:i/>
          <w:iCs/>
          <w:noProof/>
          <w:lang w:val="es-ES_tradnl" w:eastAsia="es-CO"/>
        </w:rPr>
        <w:t>Consentimiento informado, confidencialidad y derecho a la dignidad.</w:t>
      </w:r>
      <w:r w:rsidRPr="00235E8A">
        <w:rPr>
          <w:rFonts w:ascii="Arial" w:hAnsi="Arial" w:cs="Arial"/>
          <w:iCs/>
          <w:noProof/>
          <w:lang w:val="es-ES_tradnl" w:eastAsia="es-CO"/>
        </w:rPr>
        <w:t xml:space="preserve"> </w:t>
      </w:r>
      <w:r w:rsidRPr="00235E8A">
        <w:rPr>
          <w:rFonts w:ascii="Arial" w:hAnsi="Arial" w:cs="Arial"/>
          <w:bCs/>
          <w:iCs/>
          <w:noProof/>
          <w:lang w:val="es-ES_tradnl" w:eastAsia="es-CO"/>
        </w:rPr>
        <w:t>L</w:t>
      </w:r>
      <w:r w:rsidRPr="00235E8A">
        <w:rPr>
          <w:rFonts w:ascii="Arial" w:hAnsi="Arial" w:cs="Arial"/>
          <w:iCs/>
          <w:noProof/>
          <w:lang w:val="es-ES_tradnl" w:eastAsia="es-CO"/>
        </w:rPr>
        <w:t xml:space="preserve">as instituciones u organizaciones que presten el servicio de atención integral al consumidor de sustancias psicoactivas, los servicios de reducción de riesgos y daños o el servicio de farmacodependencia </w:t>
      </w:r>
      <w:r w:rsidRPr="00235E8A">
        <w:rPr>
          <w:rFonts w:ascii="Arial" w:hAnsi="Arial" w:cs="Arial"/>
          <w:bCs/>
          <w:iCs/>
          <w:noProof/>
          <w:lang w:val="es-ES_tradnl" w:eastAsia="es-CO"/>
        </w:rPr>
        <w:t>deberán</w:t>
      </w:r>
      <w:r w:rsidRPr="00235E8A">
        <w:rPr>
          <w:rFonts w:ascii="Arial" w:hAnsi="Arial" w:cs="Arial"/>
          <w:iCs/>
          <w:noProof/>
          <w:lang w:val="es-ES_tradnl" w:eastAsia="es-CO"/>
        </w:rPr>
        <w:t xml:space="preserve"> inform</w:t>
      </w:r>
      <w:r w:rsidRPr="00235E8A">
        <w:rPr>
          <w:rFonts w:ascii="Arial" w:hAnsi="Arial" w:cs="Arial"/>
          <w:bCs/>
          <w:iCs/>
          <w:noProof/>
          <w:lang w:val="es-ES_tradnl" w:eastAsia="es-CO"/>
        </w:rPr>
        <w:t>ar</w:t>
      </w:r>
      <w:r w:rsidRPr="00235E8A">
        <w:rPr>
          <w:rFonts w:ascii="Arial" w:hAnsi="Arial" w:cs="Arial"/>
          <w:iCs/>
          <w:noProof/>
          <w:lang w:val="es-ES_tradnl" w:eastAsia="es-CO"/>
        </w:rPr>
        <w:t xml:space="preserve"> a la persona sobre el tipo de servicio o tratamiento ofrecido por la institución, incluyendo los riesgos y beneficios de este tipo de atención, las alternativas de otros tratamientos</w:t>
      </w:r>
      <w:r w:rsidRPr="00235E8A">
        <w:rPr>
          <w:rFonts w:ascii="Arial" w:hAnsi="Arial" w:cs="Arial"/>
          <w:bCs/>
          <w:iCs/>
          <w:noProof/>
          <w:lang w:val="es-ES_tradnl" w:eastAsia="es-CO"/>
        </w:rPr>
        <w:t xml:space="preserve"> si los hubiese</w:t>
      </w:r>
      <w:r w:rsidRPr="00235E8A">
        <w:rPr>
          <w:rFonts w:ascii="Arial" w:hAnsi="Arial" w:cs="Arial"/>
          <w:iCs/>
          <w:noProof/>
          <w:lang w:val="es-ES_tradnl" w:eastAsia="es-CO"/>
        </w:rPr>
        <w:t>, la eficacia del tratamiento ofrecido,  la duración del tratamiento, las restricciones establecidas durante el proceso de atención, los derechos del paciente y toda aquella información relevante para la persona, su familia o red de apoyo social o institucional. El servicio de atención integral y la oferta de reducción de riesgos y daños garantizará el derecho a la confidencialidad, la dignidad y la no criminalización de la persona consumidora de sustancias psicoactivas. La persona podrá revocar en cualquier momento su consentimiento y podrá interponer las quejas a las que haya lugar ante las autoridades competentes.</w:t>
      </w:r>
    </w:p>
    <w:p w:rsidR="00F35D19" w:rsidRDefault="00DE26FB" w:rsidP="00DE26FB">
      <w:pPr>
        <w:spacing w:line="240" w:lineRule="exact"/>
        <w:jc w:val="both"/>
        <w:rPr>
          <w:rFonts w:ascii="Arial" w:eastAsia="Montserrat" w:hAnsi="Arial" w:cs="Arial"/>
        </w:rPr>
      </w:pPr>
      <w:r w:rsidRPr="00DE26FB">
        <w:rPr>
          <w:rFonts w:ascii="Arial" w:eastAsia="Montserrat" w:hAnsi="Arial" w:cs="Arial"/>
          <w:b/>
        </w:rPr>
        <w:lastRenderedPageBreak/>
        <w:t xml:space="preserve">Artículo 6. Reducción de riesgos y daños para el consumo de alcohol. </w:t>
      </w:r>
      <w:r w:rsidRPr="00DE26FB">
        <w:rPr>
          <w:rFonts w:ascii="Arial" w:eastAsia="Montserrat" w:hAnsi="Arial" w:cs="Arial"/>
        </w:rPr>
        <w:t xml:space="preserve">El Gobierno Nacional </w:t>
      </w:r>
      <w:r w:rsidR="005F2995">
        <w:rPr>
          <w:rFonts w:ascii="Arial" w:eastAsia="Montserrat" w:hAnsi="Arial" w:cs="Arial"/>
        </w:rPr>
        <w:t xml:space="preserve">en cabeza del instituto nacional de salud </w:t>
      </w:r>
      <w:r w:rsidRPr="00DE26FB">
        <w:rPr>
          <w:rFonts w:ascii="Arial" w:eastAsia="Montserrat" w:hAnsi="Arial" w:cs="Arial"/>
        </w:rPr>
        <w:t>establecerá lineamientos</w:t>
      </w:r>
      <w:r w:rsidR="00F35D19">
        <w:rPr>
          <w:rFonts w:ascii="Arial" w:eastAsia="Montserrat" w:hAnsi="Arial" w:cs="Arial"/>
        </w:rPr>
        <w:t xml:space="preserve"> de la política</w:t>
      </w:r>
      <w:r w:rsidRPr="00DE26FB">
        <w:rPr>
          <w:rFonts w:ascii="Arial" w:eastAsia="Montserrat" w:hAnsi="Arial" w:cs="Arial"/>
        </w:rPr>
        <w:t xml:space="preserve"> de reducción de riesgos y daños para el consumo de </w:t>
      </w:r>
      <w:r w:rsidR="005F2995">
        <w:rPr>
          <w:rFonts w:ascii="Arial" w:eastAsia="Montserrat" w:hAnsi="Arial" w:cs="Arial"/>
        </w:rPr>
        <w:t>sustancias psicoactivas, con el fin de preservar la integridad del individuo y sus derechos</w:t>
      </w:r>
      <w:r w:rsidRPr="00DE26FB">
        <w:rPr>
          <w:rFonts w:ascii="Arial" w:eastAsia="Montserrat" w:hAnsi="Arial" w:cs="Arial"/>
        </w:rPr>
        <w:t>. Esta política deberá contener lineamientos, obligaciones y restricciones diferenciadas para los actores involucrados en la fabricación, distribución y comercialización de bebidas alcohólicas en el país con el fin de reducir los riesgos y daños de su consumo para el individuo y la sociedad. También, deberá tener en cuenta el principio del “saber beber - saber vivir”, previsto en la reglamentación de la Ley 124 de 1994.</w:t>
      </w:r>
    </w:p>
    <w:p w:rsidR="00DE26FB" w:rsidRPr="00DE26FB" w:rsidRDefault="00F35D19" w:rsidP="00DE26FB">
      <w:pPr>
        <w:spacing w:line="240" w:lineRule="exact"/>
        <w:jc w:val="both"/>
        <w:rPr>
          <w:rFonts w:ascii="Arial" w:eastAsia="Montserrat" w:hAnsi="Arial" w:cs="Arial"/>
        </w:rPr>
      </w:pPr>
      <w:r>
        <w:rPr>
          <w:rFonts w:ascii="Arial" w:eastAsia="Montserrat" w:hAnsi="Arial" w:cs="Arial"/>
          <w:b/>
        </w:rPr>
        <w:t xml:space="preserve">Parágrafo. </w:t>
      </w:r>
      <w:r>
        <w:rPr>
          <w:rFonts w:ascii="Arial" w:eastAsia="Montserrat" w:hAnsi="Arial" w:cs="Arial"/>
        </w:rPr>
        <w:t>Los lineamientos de reducción de riesgos y daños para el consumo de alcohol serán construidos con enfoques diferenciales para las poblaciones étnicas y raciales.</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b/>
        </w:rPr>
        <w:t xml:space="preserve">Artículo 7. Reducción de riesgos y daños en establecimientos públicos nocturnos, festivales y conciertos para público </w:t>
      </w:r>
      <w:r w:rsidR="00753CBE">
        <w:rPr>
          <w:rFonts w:ascii="Arial" w:eastAsia="Montserrat" w:hAnsi="Arial" w:cs="Arial"/>
          <w:b/>
        </w:rPr>
        <w:t>mayor de edad</w:t>
      </w:r>
      <w:r w:rsidRPr="00DE26FB">
        <w:rPr>
          <w:rFonts w:ascii="Arial" w:eastAsia="Montserrat" w:hAnsi="Arial" w:cs="Arial"/>
          <w:b/>
        </w:rPr>
        <w:t xml:space="preserve">. </w:t>
      </w:r>
      <w:r w:rsidRPr="00DE26FB">
        <w:rPr>
          <w:rFonts w:ascii="Arial" w:eastAsia="Montserrat" w:hAnsi="Arial" w:cs="Arial"/>
        </w:rPr>
        <w:t xml:space="preserve">Las entidades territoriales competentes establecerán lineamientos para que los establecimientos nocturnos como bares y discotecas, festivales de gran formato, conciertos y eventos masivos para público </w:t>
      </w:r>
      <w:r w:rsidR="00753CBE">
        <w:rPr>
          <w:rFonts w:ascii="Arial" w:eastAsia="Montserrat" w:hAnsi="Arial" w:cs="Arial"/>
        </w:rPr>
        <w:t>mayor de edad</w:t>
      </w:r>
      <w:r w:rsidRPr="00DE26FB">
        <w:rPr>
          <w:rFonts w:ascii="Arial" w:eastAsia="Montserrat" w:hAnsi="Arial" w:cs="Arial"/>
        </w:rPr>
        <w:t xml:space="preserve"> implementen estrategias y protocolos de reducción de riesgos y daños en el consumo de sustancias psicoactivas incluyendo las bebidas alcohólicas y embriagantes. Estos lineamientos deberán enmarcarse en la política pública de reducción de riesgos y daños definida por el Gobierno Nacional e incluirán, entre otros, protocolos y rutas de atención temprana, acceso mínimo a hidratación y zonas de descanso y atención. </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b/>
        </w:rPr>
        <w:t>Parágrafo 1.</w:t>
      </w:r>
      <w:r w:rsidRPr="00DE26FB">
        <w:rPr>
          <w:rFonts w:ascii="Arial" w:eastAsia="Montserrat" w:hAnsi="Arial" w:cs="Arial"/>
        </w:rPr>
        <w:t xml:space="preserve"> Los lineamientos a los que hace referencia este artículo deberán establecerse diferenciadamente de acuerdo con los tipos de establecimiento público nocturno, festivales, conciertos y eventos masivos para público </w:t>
      </w:r>
      <w:r w:rsidR="00753CBE">
        <w:rPr>
          <w:rFonts w:ascii="Arial" w:eastAsia="Montserrat" w:hAnsi="Arial" w:cs="Arial"/>
        </w:rPr>
        <w:t>mayor de edad</w:t>
      </w:r>
      <w:r w:rsidRPr="00DE26FB">
        <w:rPr>
          <w:rFonts w:ascii="Arial" w:eastAsia="Montserrat" w:hAnsi="Arial" w:cs="Arial"/>
        </w:rPr>
        <w:t xml:space="preserve">, considerando capacidad, dimensión y tipo de establecimiento, duración de la actividad, riesgos y prácticas de consumo y otras características que la reglamentación defina. </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b/>
        </w:rPr>
        <w:t xml:space="preserve">Parágrafo 2. </w:t>
      </w:r>
      <w:r w:rsidRPr="00DE26FB">
        <w:rPr>
          <w:rFonts w:ascii="Arial" w:eastAsia="Montserrat" w:hAnsi="Arial" w:cs="Arial"/>
        </w:rPr>
        <w:t>Las entidades territoriales competentes establecerán estos lineamientos con participación de los integrantes del sector</w:t>
      </w:r>
      <w:r w:rsidR="00753CBE">
        <w:rPr>
          <w:rFonts w:ascii="Arial" w:eastAsia="Montserrat" w:hAnsi="Arial" w:cs="Arial"/>
        </w:rPr>
        <w:t xml:space="preserve"> económico correspondiente</w:t>
      </w:r>
      <w:r w:rsidRPr="00DE26FB">
        <w:rPr>
          <w:rFonts w:ascii="Arial" w:eastAsia="Montserrat" w:hAnsi="Arial" w:cs="Arial"/>
        </w:rPr>
        <w:t>.</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b/>
        </w:rPr>
        <w:t>Artículo 8. Generación de conocimiento.</w:t>
      </w:r>
      <w:r w:rsidRPr="00DE26FB">
        <w:rPr>
          <w:rFonts w:ascii="Arial" w:eastAsia="Montserrat" w:hAnsi="Arial" w:cs="Arial"/>
        </w:rPr>
        <w:t xml:space="preserve"> El Gobierno Nacional, en cabeza del Observatorio de Drogas de Colombia y del Instituto Nacional de Salud, publicará cada año</w:t>
      </w:r>
      <w:r w:rsidR="00753CBE">
        <w:rPr>
          <w:rFonts w:ascii="Arial" w:eastAsia="Montserrat" w:hAnsi="Arial" w:cs="Arial"/>
        </w:rPr>
        <w:t xml:space="preserve"> un informe sobre el uso</w:t>
      </w:r>
      <w:r w:rsidRPr="00DE26FB">
        <w:rPr>
          <w:rFonts w:ascii="Arial" w:eastAsia="Montserrat" w:hAnsi="Arial" w:cs="Arial"/>
        </w:rPr>
        <w:t xml:space="preserve"> y consumo de sustancias psicoactivas lícitas e ilícitas, </w:t>
      </w:r>
      <w:r w:rsidR="00E613E6">
        <w:rPr>
          <w:rFonts w:ascii="Arial" w:eastAsia="Montserrat" w:hAnsi="Arial" w:cs="Arial"/>
        </w:rPr>
        <w:t>estrategias implementadas para prevenir y reducir los riesgos y daños por el consumo de estas sustancias, e incluir información</w:t>
      </w:r>
      <w:r w:rsidRPr="00DE26FB">
        <w:rPr>
          <w:rFonts w:ascii="Arial" w:eastAsia="Montserrat" w:hAnsi="Arial" w:cs="Arial"/>
        </w:rPr>
        <w:t xml:space="preserve"> sobre las sustancias en circulación en el territorio nacional. Estos informes tendrán como fin conocer los patrones de los usos y consumos de las sustancias psicoactivas lícitas e ilícitas, alertar sobre los posibles riesgos químicos que estén en circulación, monitorear y actualizar información sobre </w:t>
      </w:r>
      <w:r w:rsidR="00E613E6">
        <w:rPr>
          <w:rFonts w:ascii="Arial" w:eastAsia="Montserrat" w:hAnsi="Arial" w:cs="Arial"/>
        </w:rPr>
        <w:t>n</w:t>
      </w:r>
      <w:r w:rsidRPr="00DE26FB">
        <w:rPr>
          <w:rFonts w:ascii="Arial" w:eastAsia="Montserrat" w:hAnsi="Arial" w:cs="Arial"/>
        </w:rPr>
        <w:t xml:space="preserve">uevas </w:t>
      </w:r>
      <w:r w:rsidR="00E613E6">
        <w:rPr>
          <w:rFonts w:ascii="Arial" w:eastAsia="Montserrat" w:hAnsi="Arial" w:cs="Arial"/>
        </w:rPr>
        <w:t>s</w:t>
      </w:r>
      <w:r w:rsidRPr="00DE26FB">
        <w:rPr>
          <w:rFonts w:ascii="Arial" w:eastAsia="Montserrat" w:hAnsi="Arial" w:cs="Arial"/>
        </w:rPr>
        <w:t xml:space="preserve">ustancias </w:t>
      </w:r>
      <w:r w:rsidR="00E613E6">
        <w:rPr>
          <w:rFonts w:ascii="Arial" w:eastAsia="Montserrat" w:hAnsi="Arial" w:cs="Arial"/>
        </w:rPr>
        <w:t>p</w:t>
      </w:r>
      <w:r w:rsidRPr="00DE26FB">
        <w:rPr>
          <w:rFonts w:ascii="Arial" w:eastAsia="Montserrat" w:hAnsi="Arial" w:cs="Arial"/>
        </w:rPr>
        <w:t>sicoactivas, revisar los avances en materia de reducción de riesgos y daños</w:t>
      </w:r>
      <w:r w:rsidR="00E613E6">
        <w:rPr>
          <w:rFonts w:ascii="Arial" w:eastAsia="Montserrat" w:hAnsi="Arial" w:cs="Arial"/>
        </w:rPr>
        <w:t>,</w:t>
      </w:r>
      <w:r w:rsidRPr="00DE26FB">
        <w:rPr>
          <w:rFonts w:ascii="Arial" w:eastAsia="Montserrat" w:hAnsi="Arial" w:cs="Arial"/>
        </w:rPr>
        <w:t xml:space="preserve"> y </w:t>
      </w:r>
      <w:r w:rsidR="00E613E6">
        <w:rPr>
          <w:rFonts w:ascii="Arial" w:eastAsia="Montserrat" w:hAnsi="Arial" w:cs="Arial"/>
        </w:rPr>
        <w:t xml:space="preserve">exponer y cualificar las políticas públicas implementadas en cada territorio. </w:t>
      </w:r>
      <w:r w:rsidRPr="00DE26FB">
        <w:rPr>
          <w:rFonts w:ascii="Arial" w:eastAsia="Montserrat" w:hAnsi="Arial" w:cs="Arial"/>
        </w:rPr>
        <w:t xml:space="preserve"> </w:t>
      </w:r>
    </w:p>
    <w:p w:rsidR="00DE26FB" w:rsidRPr="00DE26FB" w:rsidRDefault="00E613E6" w:rsidP="00DE26FB">
      <w:pPr>
        <w:spacing w:line="240" w:lineRule="exact"/>
        <w:jc w:val="both"/>
        <w:rPr>
          <w:rFonts w:ascii="Arial" w:eastAsia="Montserrat" w:hAnsi="Arial" w:cs="Arial"/>
        </w:rPr>
      </w:pPr>
      <w:r>
        <w:rPr>
          <w:rFonts w:ascii="Arial" w:eastAsia="Montserrat" w:hAnsi="Arial" w:cs="Arial"/>
          <w:b/>
          <w:bCs/>
        </w:rPr>
        <w:t>Parágrafo</w:t>
      </w:r>
      <w:r w:rsidR="00DE26FB" w:rsidRPr="00DE26FB">
        <w:rPr>
          <w:rFonts w:ascii="Arial" w:eastAsia="Montserrat" w:hAnsi="Arial" w:cs="Arial"/>
          <w:b/>
          <w:bCs/>
        </w:rPr>
        <w:t>.</w:t>
      </w:r>
      <w:r w:rsidR="00DE26FB" w:rsidRPr="00DE26FB">
        <w:rPr>
          <w:rFonts w:ascii="Arial" w:eastAsia="Montserrat" w:hAnsi="Arial" w:cs="Arial"/>
        </w:rPr>
        <w:t xml:space="preserve"> Los informes garantizarán la inclusión de métricas consistentes y de recolección de información </w:t>
      </w:r>
      <w:r w:rsidR="00DE26FB" w:rsidRPr="00DE26FB">
        <w:rPr>
          <w:rFonts w:ascii="Arial" w:eastAsia="Roboto Serif" w:hAnsi="Arial" w:cs="Arial"/>
        </w:rPr>
        <w:t xml:space="preserve">sistemática, periódica y epidemiológicamente estandarizada </w:t>
      </w:r>
      <w:r w:rsidR="00DE26FB" w:rsidRPr="00DE26FB">
        <w:rPr>
          <w:rFonts w:ascii="Arial" w:eastAsia="Montserrat" w:hAnsi="Arial" w:cs="Arial"/>
        </w:rPr>
        <w:t xml:space="preserve">que permitan las comparaciones intertemporales y la caracterización de la población en términos de magnitud y prevalencia. Así mismo, deberán considerar, según la metodología y objetivos establecidos, información relevante de otras fuentes de información como los reportes del Sistema de Salud, Medicina Legal y las entidades territoriales. </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b/>
        </w:rPr>
        <w:t>Artículo 9. Sistema de Alertas Tempranas</w:t>
      </w:r>
      <w:r w:rsidR="00505FC4">
        <w:rPr>
          <w:rFonts w:ascii="Arial" w:eastAsia="Montserrat" w:hAnsi="Arial" w:cs="Arial"/>
          <w:b/>
        </w:rPr>
        <w:t xml:space="preserve"> (SAT)</w:t>
      </w:r>
      <w:r w:rsidR="00F03252">
        <w:rPr>
          <w:rFonts w:ascii="Arial" w:eastAsia="Montserrat" w:hAnsi="Arial" w:cs="Arial"/>
          <w:b/>
        </w:rPr>
        <w:t xml:space="preserve"> del Instituto Nacional de Salud</w:t>
      </w:r>
      <w:r w:rsidRPr="00DE26FB">
        <w:rPr>
          <w:rFonts w:ascii="Arial" w:eastAsia="Montserrat" w:hAnsi="Arial" w:cs="Arial"/>
        </w:rPr>
        <w:t xml:space="preserve">. Fortalézcase el Sistema de Alertas Tempranas </w:t>
      </w:r>
      <w:r w:rsidR="00505FC4">
        <w:rPr>
          <w:rFonts w:ascii="Arial" w:eastAsia="Montserrat" w:hAnsi="Arial" w:cs="Arial"/>
        </w:rPr>
        <w:t>(</w:t>
      </w:r>
      <w:r w:rsidRPr="00DE26FB">
        <w:rPr>
          <w:rFonts w:ascii="Arial" w:eastAsia="Montserrat" w:hAnsi="Arial" w:cs="Arial"/>
        </w:rPr>
        <w:t>SAT</w:t>
      </w:r>
      <w:r w:rsidR="00505FC4">
        <w:rPr>
          <w:rFonts w:ascii="Arial" w:eastAsia="Montserrat" w:hAnsi="Arial" w:cs="Arial"/>
        </w:rPr>
        <w:t xml:space="preserve">) del Instituto Nacional de Salud (INS) como </w:t>
      </w:r>
      <w:r w:rsidRPr="00DE26FB">
        <w:rPr>
          <w:rFonts w:ascii="Arial" w:eastAsia="Montserrat" w:hAnsi="Arial" w:cs="Arial"/>
        </w:rPr>
        <w:t xml:space="preserve">mecanismo de intercambio de información </w:t>
      </w:r>
      <w:r w:rsidR="00505FC4">
        <w:rPr>
          <w:rFonts w:ascii="Arial" w:eastAsia="Montserrat" w:hAnsi="Arial" w:cs="Arial"/>
        </w:rPr>
        <w:t>que brinde apoyo</w:t>
      </w:r>
      <w:r w:rsidRPr="00DE26FB">
        <w:rPr>
          <w:rFonts w:ascii="Arial" w:eastAsia="Montserrat" w:hAnsi="Arial" w:cs="Arial"/>
        </w:rPr>
        <w:t xml:space="preserve"> con el fin de mitigar y reducir el impacto </w:t>
      </w:r>
      <w:r w:rsidR="00505FC4">
        <w:rPr>
          <w:rFonts w:ascii="Arial" w:eastAsia="Montserrat" w:hAnsi="Arial" w:cs="Arial"/>
        </w:rPr>
        <w:t>del consumo de sustancias psicoactivas de uso licito e ilícito</w:t>
      </w:r>
      <w:r w:rsidRPr="00DE26FB">
        <w:rPr>
          <w:rFonts w:ascii="Arial" w:eastAsia="Montserrat" w:hAnsi="Arial" w:cs="Arial"/>
        </w:rPr>
        <w:t xml:space="preserve"> a partir de la oportuna detección, evaluación del riesgo y generación de información confiable dirigida a las autoridades responsables y la comunidad en general.</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rPr>
        <w:lastRenderedPageBreak/>
        <w:t>El Sistema de Alertas Tempranas</w:t>
      </w:r>
      <w:r w:rsidR="00505FC4">
        <w:rPr>
          <w:rFonts w:ascii="Arial" w:eastAsia="Montserrat" w:hAnsi="Arial" w:cs="Arial"/>
        </w:rPr>
        <w:t xml:space="preserve"> (SAT)</w:t>
      </w:r>
      <w:r w:rsidRPr="00DE26FB">
        <w:rPr>
          <w:rFonts w:ascii="Arial" w:eastAsia="Montserrat" w:hAnsi="Arial" w:cs="Arial"/>
        </w:rPr>
        <w:t xml:space="preserve"> deberá coordinar </w:t>
      </w:r>
      <w:r w:rsidR="00505FC4">
        <w:rPr>
          <w:rFonts w:ascii="Arial" w:eastAsia="Montserrat" w:hAnsi="Arial" w:cs="Arial"/>
        </w:rPr>
        <w:t xml:space="preserve">la recolección de información con </w:t>
      </w:r>
      <w:r w:rsidRPr="00DE26FB">
        <w:rPr>
          <w:rFonts w:ascii="Arial" w:eastAsia="Montserrat" w:hAnsi="Arial" w:cs="Arial"/>
        </w:rPr>
        <w:t xml:space="preserve">las organizaciones de la sociedad civil, secretarías de salud territoriales, entidades prestadoras de salud, </w:t>
      </w:r>
      <w:r w:rsidR="00505FC4">
        <w:rPr>
          <w:rFonts w:ascii="Arial" w:eastAsia="Montserrat" w:hAnsi="Arial" w:cs="Arial"/>
        </w:rPr>
        <w:t xml:space="preserve">la academia </w:t>
      </w:r>
      <w:r w:rsidRPr="00DE26FB">
        <w:rPr>
          <w:rFonts w:ascii="Arial" w:eastAsia="Montserrat" w:hAnsi="Arial" w:cs="Arial"/>
        </w:rPr>
        <w:t xml:space="preserve">y demás actores que representan importantes fuentes de información territorial y descentralizada sobre el fenómeno de las sustancias psicoactivas, su comportamiento en las prácticas de consumo y los riesgos químicos emergentes en el territorio nacional. </w:t>
      </w:r>
    </w:p>
    <w:p w:rsidR="00F03252" w:rsidRDefault="00505FC4" w:rsidP="00DE26FB">
      <w:pPr>
        <w:spacing w:line="240" w:lineRule="exact"/>
        <w:jc w:val="both"/>
        <w:rPr>
          <w:rFonts w:ascii="Arial" w:eastAsia="Montserrat" w:hAnsi="Arial" w:cs="Arial"/>
        </w:rPr>
      </w:pPr>
      <w:r w:rsidRPr="00DE26FB">
        <w:rPr>
          <w:rFonts w:ascii="Arial" w:eastAsia="Montserrat" w:hAnsi="Arial" w:cs="Arial"/>
        </w:rPr>
        <w:t>El Sistema de Alertas Tempranas</w:t>
      </w:r>
      <w:r>
        <w:rPr>
          <w:rFonts w:ascii="Arial" w:eastAsia="Montserrat" w:hAnsi="Arial" w:cs="Arial"/>
        </w:rPr>
        <w:t xml:space="preserve"> (SAT)</w:t>
      </w:r>
      <w:r w:rsidR="00DE26FB" w:rsidRPr="00DE26FB">
        <w:rPr>
          <w:rFonts w:ascii="Arial" w:eastAsia="Montserrat" w:hAnsi="Arial" w:cs="Arial"/>
        </w:rPr>
        <w:t xml:space="preserve"> deberá contar con mecanismos de actualización de información eficaces que permitan la toma oportuna de decisiones por parte de las entidades territoriales y el intercambio de conocimiento e información sobre nuevas sustancias psicoactivas y riesgos químicos emergentes con la red multidisciplinaria territorial y descentralizada de organizaciones de la sociedad civil y demás instituciones interesadas.</w:t>
      </w:r>
    </w:p>
    <w:p w:rsidR="00DE26FB" w:rsidRPr="00DE26FB" w:rsidRDefault="00F03252" w:rsidP="00DE26FB">
      <w:pPr>
        <w:spacing w:line="240" w:lineRule="exact"/>
        <w:jc w:val="both"/>
        <w:rPr>
          <w:rFonts w:ascii="Arial" w:eastAsia="Montserrat" w:hAnsi="Arial" w:cs="Arial"/>
        </w:rPr>
      </w:pPr>
      <w:r>
        <w:rPr>
          <w:rFonts w:ascii="Arial" w:eastAsia="Montserrat" w:hAnsi="Arial" w:cs="Arial"/>
          <w:b/>
        </w:rPr>
        <w:t xml:space="preserve">Parágrafo. </w:t>
      </w:r>
      <w:r>
        <w:rPr>
          <w:rFonts w:ascii="Arial" w:eastAsia="Montserrat" w:hAnsi="Arial" w:cs="Arial"/>
        </w:rPr>
        <w:t>El gobierno nacional, en cabeza del Observatorio de Drogas de Colombia y el Instituto Nacional de Salud, realizará un análisis sobre las alertas tempranas que será incluido al informe bianual sobre los usos y consumos de sustancias psicoacti</w:t>
      </w:r>
      <w:r w:rsidR="00F33520">
        <w:rPr>
          <w:rFonts w:ascii="Arial" w:eastAsia="Montserrat" w:hAnsi="Arial" w:cs="Arial"/>
        </w:rPr>
        <w:t>vas licitas.</w:t>
      </w:r>
      <w:r>
        <w:rPr>
          <w:rFonts w:ascii="Arial" w:eastAsia="Montserrat" w:hAnsi="Arial" w:cs="Arial"/>
        </w:rPr>
        <w:t xml:space="preserve"> </w:t>
      </w:r>
      <w:r w:rsidR="00DE26FB" w:rsidRPr="00DE26FB">
        <w:rPr>
          <w:rFonts w:ascii="Arial" w:eastAsia="Montserrat" w:hAnsi="Arial" w:cs="Arial"/>
        </w:rPr>
        <w:t xml:space="preserve"> </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b/>
        </w:rPr>
        <w:t>Artículo 10. Investigación científica.</w:t>
      </w:r>
      <w:r w:rsidRPr="00DE26FB">
        <w:rPr>
          <w:rFonts w:ascii="Arial" w:eastAsia="Montserrat" w:hAnsi="Arial" w:cs="Arial"/>
        </w:rPr>
        <w:t xml:space="preserve"> El Gobierno Nacional fomentará la investigación médica y científica sobre el fenómeno de las sustancias psicoactivas legales e ilegales, su impacto en la salud y en la salud pública, las poblaciones vulnerables, la evaluación de políticas públicas y los usos médicos y científicos de sustancias con potencial. </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rPr>
        <w:t xml:space="preserve">El Ministerio de Ciencia, Tecnología y la Innovación establecerá líneas de investigación y otorgamiento de becas y/o modalidades de financiamiento según su plan de acción y de acuerdo con la disponibilidad presupuestal. </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rPr>
        <w:t xml:space="preserve">El Ministerio de Justicia y del Derecho o quien dirija la política de drogas, establecerá mecanismos para agilizar los trámites y permisos requeridos para estas investigaciones solicitados por parte de las universidades, centros de estudio y organizaciones que estén interesados en realizar estas investigaciones.  </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b/>
        </w:rPr>
        <w:t>Artículo 11. Acompañamiento de la sociedad civil y la academia</w:t>
      </w:r>
      <w:r w:rsidRPr="00DE26FB">
        <w:rPr>
          <w:rFonts w:ascii="Arial" w:eastAsia="Montserrat" w:hAnsi="Arial" w:cs="Arial"/>
        </w:rPr>
        <w:t xml:space="preserve">. El Gobierno Nacional y las entidades territoriales competentes convocarán, </w:t>
      </w:r>
      <w:r w:rsidR="0044780C">
        <w:rPr>
          <w:rFonts w:ascii="Arial" w:eastAsia="Montserrat" w:hAnsi="Arial" w:cs="Arial"/>
        </w:rPr>
        <w:t>por l</w:t>
      </w:r>
      <w:r w:rsidRPr="00DE26FB">
        <w:rPr>
          <w:rFonts w:ascii="Arial" w:eastAsia="Montserrat" w:hAnsi="Arial" w:cs="Arial"/>
        </w:rPr>
        <w:t xml:space="preserve">o menos una vez al año, a las organizaciones de la sociedad civil y a la academia para que acompañen y asesoren la formulación, implementación y evaluación de políticas y estrategias de prevención, atención y reducción del riesgo y daño en el consumo de sustancias psicoactivas. </w:t>
      </w:r>
    </w:p>
    <w:p w:rsidR="00DE26FB" w:rsidRPr="00DE26FB" w:rsidRDefault="00DE26FB" w:rsidP="00DE26FB">
      <w:pPr>
        <w:spacing w:line="240" w:lineRule="exact"/>
        <w:jc w:val="both"/>
        <w:rPr>
          <w:rFonts w:ascii="Arial" w:eastAsia="Montserrat" w:hAnsi="Arial" w:cs="Arial"/>
        </w:rPr>
      </w:pPr>
      <w:r w:rsidRPr="00DE26FB">
        <w:rPr>
          <w:rFonts w:ascii="Arial" w:eastAsia="Montserrat" w:hAnsi="Arial" w:cs="Arial"/>
          <w:b/>
        </w:rPr>
        <w:t>Artículo 12. Reglamentación.</w:t>
      </w:r>
      <w:r w:rsidRPr="00DE26FB">
        <w:rPr>
          <w:rFonts w:ascii="Arial" w:eastAsia="Montserrat" w:hAnsi="Arial" w:cs="Arial"/>
        </w:rPr>
        <w:t xml:space="preserve"> El Gobierno Nacional deberá expedir la reglamentación necesaria para la correcta implementación de lo contenido en la presente ley en un término no mayor a doce (12) meses contados a partir de su promulgación.</w:t>
      </w:r>
    </w:p>
    <w:p w:rsidR="00DE26FB" w:rsidRPr="00DE26FB" w:rsidRDefault="00DE26FB" w:rsidP="00DE26FB">
      <w:pPr>
        <w:spacing w:line="240" w:lineRule="exact"/>
        <w:jc w:val="both"/>
        <w:rPr>
          <w:rFonts w:ascii="Arial" w:eastAsia="Times New Roman" w:hAnsi="Arial" w:cs="Arial"/>
          <w:b/>
        </w:rPr>
      </w:pPr>
      <w:r w:rsidRPr="00DE26FB">
        <w:rPr>
          <w:rFonts w:ascii="Arial" w:eastAsia="Montserrat" w:hAnsi="Arial" w:cs="Arial"/>
          <w:b/>
        </w:rPr>
        <w:t>Artículo 13. Vigencia</w:t>
      </w:r>
      <w:r w:rsidRPr="00DE26FB">
        <w:rPr>
          <w:rFonts w:ascii="Arial" w:eastAsia="Montserrat" w:hAnsi="Arial" w:cs="Arial"/>
        </w:rPr>
        <w:t>. La presente ley rige a partir de su promulgación.</w:t>
      </w:r>
    </w:p>
    <w:p w:rsidR="00286D77" w:rsidRPr="0054005F" w:rsidRDefault="00286D77" w:rsidP="0054005F">
      <w:pPr>
        <w:pStyle w:val="Sinespaciado"/>
        <w:spacing w:line="240" w:lineRule="exact"/>
        <w:rPr>
          <w:rFonts w:cs="Arial"/>
          <w:color w:val="000000" w:themeColor="text1"/>
        </w:rPr>
      </w:pPr>
    </w:p>
    <w:p w:rsidR="008B7CAE" w:rsidRPr="0054005F" w:rsidRDefault="008B7CAE" w:rsidP="0054005F">
      <w:pPr>
        <w:pStyle w:val="Sinespaciado"/>
        <w:spacing w:line="240" w:lineRule="exact"/>
        <w:rPr>
          <w:rFonts w:cs="Arial"/>
          <w:lang w:eastAsia="en-US"/>
        </w:rPr>
      </w:pPr>
    </w:p>
    <w:p w:rsidR="002A0F2B" w:rsidRPr="0054005F" w:rsidRDefault="002D0078" w:rsidP="0054005F">
      <w:pPr>
        <w:spacing w:line="240" w:lineRule="exact"/>
        <w:jc w:val="both"/>
        <w:rPr>
          <w:rFonts w:ascii="Arial" w:eastAsia="Arial" w:hAnsi="Arial" w:cs="Arial"/>
          <w:b/>
        </w:rPr>
      </w:pPr>
      <w:r w:rsidRPr="0054005F">
        <w:rPr>
          <w:rFonts w:ascii="Arial" w:eastAsia="Arial Narrow" w:hAnsi="Arial" w:cs="Arial"/>
        </w:rPr>
        <w:t xml:space="preserve"> </w:t>
      </w:r>
    </w:p>
    <w:p w:rsidR="002A0F2B" w:rsidRPr="0054005F" w:rsidRDefault="002A0F2B" w:rsidP="0054005F">
      <w:pPr>
        <w:pStyle w:val="Sinespaciado"/>
        <w:spacing w:line="240" w:lineRule="exact"/>
        <w:rPr>
          <w:rFonts w:eastAsia="Arial" w:cs="Arial"/>
          <w:b/>
        </w:rPr>
      </w:pPr>
    </w:p>
    <w:p w:rsidR="00286D77" w:rsidRPr="0054005F" w:rsidRDefault="00286D77" w:rsidP="0054005F">
      <w:pPr>
        <w:pStyle w:val="Sinespaciado"/>
        <w:spacing w:line="240" w:lineRule="exact"/>
        <w:jc w:val="center"/>
        <w:rPr>
          <w:rFonts w:eastAsia="Arial" w:cs="Arial"/>
          <w:b/>
        </w:rPr>
      </w:pPr>
    </w:p>
    <w:p w:rsidR="00286D77" w:rsidRPr="0054005F" w:rsidRDefault="00A26282" w:rsidP="0054005F">
      <w:pPr>
        <w:pStyle w:val="Sinespaciado"/>
        <w:spacing w:line="240" w:lineRule="exact"/>
        <w:jc w:val="center"/>
        <w:rPr>
          <w:rFonts w:eastAsia="Arial" w:cs="Arial"/>
          <w:b/>
        </w:rPr>
      </w:pPr>
      <w:r>
        <w:rPr>
          <w:rFonts w:eastAsia="Arial" w:cs="Arial"/>
          <w:b/>
        </w:rPr>
        <w:t>Agmeth José Escaf Tijerino</w:t>
      </w:r>
    </w:p>
    <w:p w:rsidR="00286D77" w:rsidRPr="0054005F" w:rsidRDefault="00286D77" w:rsidP="0054005F">
      <w:pPr>
        <w:pStyle w:val="Sinespaciado"/>
        <w:spacing w:line="240" w:lineRule="exact"/>
        <w:jc w:val="center"/>
        <w:rPr>
          <w:rFonts w:eastAsia="Arial" w:cs="Arial"/>
        </w:rPr>
      </w:pPr>
      <w:r w:rsidRPr="0054005F">
        <w:rPr>
          <w:rFonts w:eastAsia="Arial" w:cs="Arial"/>
        </w:rPr>
        <w:t>Representante a la Cámara</w:t>
      </w:r>
    </w:p>
    <w:sectPr w:rsidR="00286D77" w:rsidRPr="0054005F"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49" w:rsidRDefault="00E36749">
      <w:pPr>
        <w:spacing w:after="0" w:line="240" w:lineRule="auto"/>
      </w:pPr>
      <w:r>
        <w:separator/>
      </w:r>
    </w:p>
  </w:endnote>
  <w:endnote w:type="continuationSeparator" w:id="0">
    <w:p w:rsidR="00E36749" w:rsidRDefault="00E3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 w:name="Roboto-Bold">
    <w:altName w:val="Segoe Print"/>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Roboto Serif">
    <w:charset w:val="00"/>
    <w:family w:val="auto"/>
    <w:pitch w:val="default"/>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A" w:rsidRDefault="00EF1B9A" w:rsidP="00D02C3F">
    <w:pPr>
      <w:pStyle w:val="Piedepgina"/>
      <w:jc w:val="center"/>
      <w:rPr>
        <w:b/>
      </w:rPr>
    </w:pPr>
    <w:r>
      <w:rPr>
        <w:b/>
      </w:rPr>
      <w:t>_______________________________________________________________________</w:t>
    </w:r>
  </w:p>
  <w:p w:rsidR="00EF1B9A" w:rsidRPr="00825466" w:rsidRDefault="00EF1B9A" w:rsidP="00D02C3F">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sidR="00E613E6">
      <w:rPr>
        <w:b/>
      </w:rPr>
      <w:t>225</w:t>
    </w:r>
    <w:r>
      <w:rPr>
        <w:b/>
      </w:rPr>
      <w:t xml:space="preserve"> de</w:t>
    </w:r>
    <w:r w:rsidRPr="00825466">
      <w:rPr>
        <w:b/>
      </w:rPr>
      <w:t xml:space="preserve"> 202</w:t>
    </w:r>
    <w:r>
      <w:rPr>
        <w:b/>
      </w:rPr>
      <w:t>3 Cámara</w:t>
    </w:r>
  </w:p>
  <w:p w:rsidR="00EF1B9A" w:rsidRDefault="00EF1B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49" w:rsidRDefault="00E36749">
      <w:pPr>
        <w:spacing w:after="0" w:line="240" w:lineRule="auto"/>
      </w:pPr>
      <w:r>
        <w:separator/>
      </w:r>
    </w:p>
  </w:footnote>
  <w:footnote w:type="continuationSeparator" w:id="0">
    <w:p w:rsidR="00E36749" w:rsidRDefault="00E3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A" w:rsidRDefault="00EF1B9A"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765"/>
    <w:multiLevelType w:val="hybridMultilevel"/>
    <w:tmpl w:val="9716A4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EA7E54"/>
    <w:multiLevelType w:val="hybridMultilevel"/>
    <w:tmpl w:val="722A23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644961"/>
    <w:multiLevelType w:val="hybridMultilevel"/>
    <w:tmpl w:val="B59CA9D4"/>
    <w:lvl w:ilvl="0" w:tplc="ACC801C8">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D17C6B"/>
    <w:multiLevelType w:val="hybridMultilevel"/>
    <w:tmpl w:val="C71C24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581A27"/>
    <w:multiLevelType w:val="hybridMultilevel"/>
    <w:tmpl w:val="F0CA00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A135D8"/>
    <w:multiLevelType w:val="hybridMultilevel"/>
    <w:tmpl w:val="4378D732"/>
    <w:lvl w:ilvl="0" w:tplc="51D0F508">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342551"/>
    <w:multiLevelType w:val="hybridMultilevel"/>
    <w:tmpl w:val="B29A6CC8"/>
    <w:lvl w:ilvl="0" w:tplc="93B042E2">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35A12"/>
    <w:rsid w:val="000374E1"/>
    <w:rsid w:val="00040A66"/>
    <w:rsid w:val="000550DB"/>
    <w:rsid w:val="00060CE9"/>
    <w:rsid w:val="00065FC7"/>
    <w:rsid w:val="0007681D"/>
    <w:rsid w:val="000A2FBC"/>
    <w:rsid w:val="000A3260"/>
    <w:rsid w:val="000A75A2"/>
    <w:rsid w:val="000C5344"/>
    <w:rsid w:val="000C72C0"/>
    <w:rsid w:val="000D4049"/>
    <w:rsid w:val="000E29EC"/>
    <w:rsid w:val="000E2AF7"/>
    <w:rsid w:val="000E370B"/>
    <w:rsid w:val="000E7828"/>
    <w:rsid w:val="000F3249"/>
    <w:rsid w:val="000F3F41"/>
    <w:rsid w:val="001009BF"/>
    <w:rsid w:val="00101F22"/>
    <w:rsid w:val="00102AC9"/>
    <w:rsid w:val="00106067"/>
    <w:rsid w:val="00121C04"/>
    <w:rsid w:val="001303C3"/>
    <w:rsid w:val="00130E32"/>
    <w:rsid w:val="001326DD"/>
    <w:rsid w:val="00133E29"/>
    <w:rsid w:val="00134E23"/>
    <w:rsid w:val="00140AC9"/>
    <w:rsid w:val="00141A7E"/>
    <w:rsid w:val="00145732"/>
    <w:rsid w:val="00167292"/>
    <w:rsid w:val="00174852"/>
    <w:rsid w:val="00177098"/>
    <w:rsid w:val="001826C3"/>
    <w:rsid w:val="00182AF1"/>
    <w:rsid w:val="00193E1C"/>
    <w:rsid w:val="001A5E93"/>
    <w:rsid w:val="001B1C28"/>
    <w:rsid w:val="001C231A"/>
    <w:rsid w:val="001C7B84"/>
    <w:rsid w:val="001D13C3"/>
    <w:rsid w:val="001F1861"/>
    <w:rsid w:val="001F58E2"/>
    <w:rsid w:val="00217F93"/>
    <w:rsid w:val="002201BE"/>
    <w:rsid w:val="00223D32"/>
    <w:rsid w:val="0022471B"/>
    <w:rsid w:val="00236A14"/>
    <w:rsid w:val="0023716C"/>
    <w:rsid w:val="00245986"/>
    <w:rsid w:val="00257ACA"/>
    <w:rsid w:val="00262C6D"/>
    <w:rsid w:val="00265F2D"/>
    <w:rsid w:val="002726EA"/>
    <w:rsid w:val="002753E5"/>
    <w:rsid w:val="00286D77"/>
    <w:rsid w:val="0029185C"/>
    <w:rsid w:val="002A0F2B"/>
    <w:rsid w:val="002A192C"/>
    <w:rsid w:val="002A1BAF"/>
    <w:rsid w:val="002B4857"/>
    <w:rsid w:val="002B7AF5"/>
    <w:rsid w:val="002C3043"/>
    <w:rsid w:val="002C38C6"/>
    <w:rsid w:val="002C3CA9"/>
    <w:rsid w:val="002C7D78"/>
    <w:rsid w:val="002D0078"/>
    <w:rsid w:val="002D1CA6"/>
    <w:rsid w:val="002D4768"/>
    <w:rsid w:val="002D7CE9"/>
    <w:rsid w:val="002E41B1"/>
    <w:rsid w:val="002E6F2E"/>
    <w:rsid w:val="002F2A98"/>
    <w:rsid w:val="002F48E2"/>
    <w:rsid w:val="002F58BF"/>
    <w:rsid w:val="002F7219"/>
    <w:rsid w:val="00310DF8"/>
    <w:rsid w:val="00322D56"/>
    <w:rsid w:val="00326959"/>
    <w:rsid w:val="00330383"/>
    <w:rsid w:val="00330C1C"/>
    <w:rsid w:val="00332B24"/>
    <w:rsid w:val="00335A28"/>
    <w:rsid w:val="00337B01"/>
    <w:rsid w:val="00344B4D"/>
    <w:rsid w:val="00347DF4"/>
    <w:rsid w:val="00360FBF"/>
    <w:rsid w:val="00362A2A"/>
    <w:rsid w:val="00364C69"/>
    <w:rsid w:val="00375224"/>
    <w:rsid w:val="00381C0B"/>
    <w:rsid w:val="00384A21"/>
    <w:rsid w:val="003A202D"/>
    <w:rsid w:val="003B3F8A"/>
    <w:rsid w:val="003C4594"/>
    <w:rsid w:val="003C5D20"/>
    <w:rsid w:val="003D08DE"/>
    <w:rsid w:val="003E50BC"/>
    <w:rsid w:val="003F4121"/>
    <w:rsid w:val="003F4341"/>
    <w:rsid w:val="00406442"/>
    <w:rsid w:val="0040696A"/>
    <w:rsid w:val="004071FB"/>
    <w:rsid w:val="004236FC"/>
    <w:rsid w:val="0044780C"/>
    <w:rsid w:val="00456197"/>
    <w:rsid w:val="00456AD5"/>
    <w:rsid w:val="00464DC8"/>
    <w:rsid w:val="004677B3"/>
    <w:rsid w:val="00471DC5"/>
    <w:rsid w:val="00481A0E"/>
    <w:rsid w:val="00484475"/>
    <w:rsid w:val="0049324B"/>
    <w:rsid w:val="004A73F0"/>
    <w:rsid w:val="004B0124"/>
    <w:rsid w:val="004C2E07"/>
    <w:rsid w:val="004C4A20"/>
    <w:rsid w:val="004C5633"/>
    <w:rsid w:val="004C5B2F"/>
    <w:rsid w:val="004D2B52"/>
    <w:rsid w:val="004D631D"/>
    <w:rsid w:val="004E5302"/>
    <w:rsid w:val="005004BD"/>
    <w:rsid w:val="00505FC4"/>
    <w:rsid w:val="00507E63"/>
    <w:rsid w:val="0051222F"/>
    <w:rsid w:val="00523CF6"/>
    <w:rsid w:val="005320CD"/>
    <w:rsid w:val="00533EF5"/>
    <w:rsid w:val="00533F5F"/>
    <w:rsid w:val="0054005F"/>
    <w:rsid w:val="00543238"/>
    <w:rsid w:val="00545AF9"/>
    <w:rsid w:val="00546D23"/>
    <w:rsid w:val="00550248"/>
    <w:rsid w:val="005520E8"/>
    <w:rsid w:val="0057061D"/>
    <w:rsid w:val="0057546B"/>
    <w:rsid w:val="0057726E"/>
    <w:rsid w:val="005970FF"/>
    <w:rsid w:val="005A3B3B"/>
    <w:rsid w:val="005B499B"/>
    <w:rsid w:val="005C0747"/>
    <w:rsid w:val="005C29EA"/>
    <w:rsid w:val="005D5C32"/>
    <w:rsid w:val="005E1499"/>
    <w:rsid w:val="005E5CDA"/>
    <w:rsid w:val="005E79A3"/>
    <w:rsid w:val="005E79F9"/>
    <w:rsid w:val="005F2995"/>
    <w:rsid w:val="005F4131"/>
    <w:rsid w:val="006020FC"/>
    <w:rsid w:val="0060655B"/>
    <w:rsid w:val="00611C4A"/>
    <w:rsid w:val="00621238"/>
    <w:rsid w:val="006367CF"/>
    <w:rsid w:val="00652D81"/>
    <w:rsid w:val="00657F8F"/>
    <w:rsid w:val="0066551C"/>
    <w:rsid w:val="006673A9"/>
    <w:rsid w:val="0067277A"/>
    <w:rsid w:val="00672A44"/>
    <w:rsid w:val="006764F6"/>
    <w:rsid w:val="00676A02"/>
    <w:rsid w:val="00684688"/>
    <w:rsid w:val="006A1E00"/>
    <w:rsid w:val="006A4C8D"/>
    <w:rsid w:val="006A569D"/>
    <w:rsid w:val="006A6E00"/>
    <w:rsid w:val="006A6E52"/>
    <w:rsid w:val="006B1E97"/>
    <w:rsid w:val="006B4811"/>
    <w:rsid w:val="006B4C0E"/>
    <w:rsid w:val="006B5336"/>
    <w:rsid w:val="006D531F"/>
    <w:rsid w:val="006E0E4F"/>
    <w:rsid w:val="006E4E2D"/>
    <w:rsid w:val="006E594C"/>
    <w:rsid w:val="00703BB5"/>
    <w:rsid w:val="00713132"/>
    <w:rsid w:val="007351C3"/>
    <w:rsid w:val="00741819"/>
    <w:rsid w:val="0074725C"/>
    <w:rsid w:val="00751A35"/>
    <w:rsid w:val="007537D0"/>
    <w:rsid w:val="00753CBE"/>
    <w:rsid w:val="00767847"/>
    <w:rsid w:val="00776EA0"/>
    <w:rsid w:val="00780935"/>
    <w:rsid w:val="0079288E"/>
    <w:rsid w:val="007931F9"/>
    <w:rsid w:val="007953C1"/>
    <w:rsid w:val="007965C5"/>
    <w:rsid w:val="007976F4"/>
    <w:rsid w:val="007A362D"/>
    <w:rsid w:val="007A6B9C"/>
    <w:rsid w:val="007B62E2"/>
    <w:rsid w:val="007D2959"/>
    <w:rsid w:val="007D3C92"/>
    <w:rsid w:val="007D5A47"/>
    <w:rsid w:val="007E1931"/>
    <w:rsid w:val="00801BBB"/>
    <w:rsid w:val="00804C5A"/>
    <w:rsid w:val="008139B4"/>
    <w:rsid w:val="0082301C"/>
    <w:rsid w:val="00823861"/>
    <w:rsid w:val="00825466"/>
    <w:rsid w:val="00841B4E"/>
    <w:rsid w:val="00857E19"/>
    <w:rsid w:val="0086388D"/>
    <w:rsid w:val="008677F4"/>
    <w:rsid w:val="008748F9"/>
    <w:rsid w:val="00881765"/>
    <w:rsid w:val="008A33A1"/>
    <w:rsid w:val="008A4DC6"/>
    <w:rsid w:val="008B2713"/>
    <w:rsid w:val="008B7CAE"/>
    <w:rsid w:val="008C5481"/>
    <w:rsid w:val="008C6F85"/>
    <w:rsid w:val="008E0B85"/>
    <w:rsid w:val="008E2412"/>
    <w:rsid w:val="008E689B"/>
    <w:rsid w:val="008F2C6C"/>
    <w:rsid w:val="009007DA"/>
    <w:rsid w:val="00900D93"/>
    <w:rsid w:val="00911AA0"/>
    <w:rsid w:val="00914EFE"/>
    <w:rsid w:val="00915724"/>
    <w:rsid w:val="00925A5F"/>
    <w:rsid w:val="00926535"/>
    <w:rsid w:val="0093390D"/>
    <w:rsid w:val="00933F2D"/>
    <w:rsid w:val="00937284"/>
    <w:rsid w:val="00946C38"/>
    <w:rsid w:val="009641E8"/>
    <w:rsid w:val="00964C16"/>
    <w:rsid w:val="00975497"/>
    <w:rsid w:val="00980D46"/>
    <w:rsid w:val="00981C2C"/>
    <w:rsid w:val="0098292B"/>
    <w:rsid w:val="00983CBA"/>
    <w:rsid w:val="00984A08"/>
    <w:rsid w:val="00990077"/>
    <w:rsid w:val="00993842"/>
    <w:rsid w:val="009A1DCA"/>
    <w:rsid w:val="009A5477"/>
    <w:rsid w:val="009B3EF7"/>
    <w:rsid w:val="009C4D8B"/>
    <w:rsid w:val="009C4F2A"/>
    <w:rsid w:val="009C715C"/>
    <w:rsid w:val="009D041E"/>
    <w:rsid w:val="009D1C5E"/>
    <w:rsid w:val="009E1B8B"/>
    <w:rsid w:val="009E3F42"/>
    <w:rsid w:val="009E5329"/>
    <w:rsid w:val="009F11E1"/>
    <w:rsid w:val="009F193D"/>
    <w:rsid w:val="009F61F1"/>
    <w:rsid w:val="00A03204"/>
    <w:rsid w:val="00A06FEB"/>
    <w:rsid w:val="00A07389"/>
    <w:rsid w:val="00A10DC4"/>
    <w:rsid w:val="00A118A1"/>
    <w:rsid w:val="00A260C7"/>
    <w:rsid w:val="00A26282"/>
    <w:rsid w:val="00A27D65"/>
    <w:rsid w:val="00A32385"/>
    <w:rsid w:val="00A34245"/>
    <w:rsid w:val="00A40B35"/>
    <w:rsid w:val="00A42D19"/>
    <w:rsid w:val="00A44532"/>
    <w:rsid w:val="00A6176F"/>
    <w:rsid w:val="00A865D8"/>
    <w:rsid w:val="00A9064B"/>
    <w:rsid w:val="00A91E5E"/>
    <w:rsid w:val="00A92F29"/>
    <w:rsid w:val="00A97875"/>
    <w:rsid w:val="00AA513D"/>
    <w:rsid w:val="00AA5167"/>
    <w:rsid w:val="00AC09C4"/>
    <w:rsid w:val="00AD653D"/>
    <w:rsid w:val="00AE1C38"/>
    <w:rsid w:val="00AE4C4F"/>
    <w:rsid w:val="00AE50B9"/>
    <w:rsid w:val="00AF4493"/>
    <w:rsid w:val="00B01EBD"/>
    <w:rsid w:val="00B04CB2"/>
    <w:rsid w:val="00B0720E"/>
    <w:rsid w:val="00B133E9"/>
    <w:rsid w:val="00B16A0C"/>
    <w:rsid w:val="00B20C5D"/>
    <w:rsid w:val="00B24AD3"/>
    <w:rsid w:val="00B261C9"/>
    <w:rsid w:val="00B31264"/>
    <w:rsid w:val="00B4204B"/>
    <w:rsid w:val="00B47081"/>
    <w:rsid w:val="00B57363"/>
    <w:rsid w:val="00B820C9"/>
    <w:rsid w:val="00B878DC"/>
    <w:rsid w:val="00B975D8"/>
    <w:rsid w:val="00BA2504"/>
    <w:rsid w:val="00BA6354"/>
    <w:rsid w:val="00BB00CF"/>
    <w:rsid w:val="00BC397B"/>
    <w:rsid w:val="00BD0FC6"/>
    <w:rsid w:val="00BF3B24"/>
    <w:rsid w:val="00BF5872"/>
    <w:rsid w:val="00BF5DE4"/>
    <w:rsid w:val="00BF7A6B"/>
    <w:rsid w:val="00BF7E67"/>
    <w:rsid w:val="00C0783C"/>
    <w:rsid w:val="00C10A0F"/>
    <w:rsid w:val="00C24F1B"/>
    <w:rsid w:val="00C25D92"/>
    <w:rsid w:val="00C25E24"/>
    <w:rsid w:val="00C3406B"/>
    <w:rsid w:val="00C40BE0"/>
    <w:rsid w:val="00C61950"/>
    <w:rsid w:val="00C70757"/>
    <w:rsid w:val="00C774B7"/>
    <w:rsid w:val="00C84AF4"/>
    <w:rsid w:val="00C95A28"/>
    <w:rsid w:val="00CA526F"/>
    <w:rsid w:val="00CA782F"/>
    <w:rsid w:val="00CB66CD"/>
    <w:rsid w:val="00CD0D2A"/>
    <w:rsid w:val="00CD3D5D"/>
    <w:rsid w:val="00CE2981"/>
    <w:rsid w:val="00CF0E4D"/>
    <w:rsid w:val="00CF374F"/>
    <w:rsid w:val="00D00C7C"/>
    <w:rsid w:val="00D01F48"/>
    <w:rsid w:val="00D02C3F"/>
    <w:rsid w:val="00D16302"/>
    <w:rsid w:val="00D26BD6"/>
    <w:rsid w:val="00D273E1"/>
    <w:rsid w:val="00D410FE"/>
    <w:rsid w:val="00D425B0"/>
    <w:rsid w:val="00D6196E"/>
    <w:rsid w:val="00D62287"/>
    <w:rsid w:val="00D65C9D"/>
    <w:rsid w:val="00D819C5"/>
    <w:rsid w:val="00DA19EE"/>
    <w:rsid w:val="00DB7B0E"/>
    <w:rsid w:val="00DC1FF5"/>
    <w:rsid w:val="00DE26FB"/>
    <w:rsid w:val="00DF6918"/>
    <w:rsid w:val="00E02D4A"/>
    <w:rsid w:val="00E047D5"/>
    <w:rsid w:val="00E125A7"/>
    <w:rsid w:val="00E174E2"/>
    <w:rsid w:val="00E2082D"/>
    <w:rsid w:val="00E25D64"/>
    <w:rsid w:val="00E27292"/>
    <w:rsid w:val="00E30A95"/>
    <w:rsid w:val="00E30C58"/>
    <w:rsid w:val="00E36749"/>
    <w:rsid w:val="00E418AF"/>
    <w:rsid w:val="00E46059"/>
    <w:rsid w:val="00E613E6"/>
    <w:rsid w:val="00E74754"/>
    <w:rsid w:val="00E94949"/>
    <w:rsid w:val="00EA2C6C"/>
    <w:rsid w:val="00EA502F"/>
    <w:rsid w:val="00EA5064"/>
    <w:rsid w:val="00EA56BE"/>
    <w:rsid w:val="00EB006B"/>
    <w:rsid w:val="00EB0BFA"/>
    <w:rsid w:val="00EB39FC"/>
    <w:rsid w:val="00EB6282"/>
    <w:rsid w:val="00ED45DB"/>
    <w:rsid w:val="00ED4E5C"/>
    <w:rsid w:val="00EE46F2"/>
    <w:rsid w:val="00EE498A"/>
    <w:rsid w:val="00EF017E"/>
    <w:rsid w:val="00EF1B9A"/>
    <w:rsid w:val="00EF1E1C"/>
    <w:rsid w:val="00EF27E7"/>
    <w:rsid w:val="00EF5B1B"/>
    <w:rsid w:val="00F03252"/>
    <w:rsid w:val="00F039CF"/>
    <w:rsid w:val="00F04E2C"/>
    <w:rsid w:val="00F04F8C"/>
    <w:rsid w:val="00F14CBD"/>
    <w:rsid w:val="00F2500D"/>
    <w:rsid w:val="00F25E2F"/>
    <w:rsid w:val="00F262B2"/>
    <w:rsid w:val="00F33520"/>
    <w:rsid w:val="00F35D19"/>
    <w:rsid w:val="00F367F6"/>
    <w:rsid w:val="00F4043F"/>
    <w:rsid w:val="00F42CA9"/>
    <w:rsid w:val="00F442CA"/>
    <w:rsid w:val="00F4622A"/>
    <w:rsid w:val="00F50D3E"/>
    <w:rsid w:val="00F66F0B"/>
    <w:rsid w:val="00F67633"/>
    <w:rsid w:val="00F718B4"/>
    <w:rsid w:val="00FA7766"/>
    <w:rsid w:val="00FB2026"/>
    <w:rsid w:val="00FB3918"/>
    <w:rsid w:val="00FC1DEF"/>
    <w:rsid w:val="00FC7B5D"/>
    <w:rsid w:val="00FD1F03"/>
    <w:rsid w:val="00FD1FBB"/>
    <w:rsid w:val="00FE6F8E"/>
    <w:rsid w:val="00FE7C1C"/>
    <w:rsid w:val="00FF1A92"/>
    <w:rsid w:val="00FF4D37"/>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718C"/>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iPriority w:val="99"/>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aliases w:val="4_G,referencia nota al pie,Fußnotenzeichen DISS,16 Point,Superscript 6 Point,ftref,Nota de pie,Ref,de nota al pie,Texto nota al pie,Footnote symbol,Footnote,Appel note de bas de p,Texto de nota al pie,BVI fnr,Ref. de nota al pie2"/>
    <w:basedOn w:val="Fuentedeprrafopredeter"/>
    <w:uiPriority w:val="99"/>
    <w:unhideWhenUsed/>
    <w:qFormat/>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 w:type="table" w:styleId="Tabladecuadrcula1clara">
    <w:name w:val="Grid Table 1 Light"/>
    <w:basedOn w:val="Tablanormal"/>
    <w:uiPriority w:val="46"/>
    <w:rsid w:val="00286D77"/>
    <w:pPr>
      <w:spacing w:after="0" w:line="240" w:lineRule="auto"/>
    </w:pPr>
    <w:rPr>
      <w:rFonts w:asciiTheme="minorHAnsi" w:eastAsiaTheme="minorHAnsi" w:hAnsiTheme="minorHAnsi" w:cstheme="minorBidi"/>
      <w:lang w:val="es-E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6concolores">
    <w:name w:val="Grid Table 6 Colorful"/>
    <w:basedOn w:val="Tablanormal"/>
    <w:uiPriority w:val="51"/>
    <w:rsid w:val="00286D77"/>
    <w:pPr>
      <w:spacing w:after="0" w:line="240" w:lineRule="auto"/>
    </w:pPr>
    <w:rPr>
      <w:rFonts w:asciiTheme="minorHAnsi" w:eastAsiaTheme="minorHAnsi" w:hAnsiTheme="minorHAnsi" w:cstheme="minorBidi"/>
      <w:color w:val="000000" w:themeColor="text1"/>
      <w:lang w:val="es-E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Fuentedeprrafopredeter"/>
    <w:rsid w:val="00286D77"/>
    <w:rPr>
      <w:rFonts w:ascii="TimesNewRomanPSMT" w:hAnsi="TimesNewRomanPSMT" w:hint="default"/>
      <w:b w:val="0"/>
      <w:bCs w:val="0"/>
      <w:i w:val="0"/>
      <w:iCs w:val="0"/>
      <w:color w:val="000000"/>
      <w:sz w:val="24"/>
      <w:szCs w:val="24"/>
    </w:rPr>
  </w:style>
  <w:style w:type="character" w:customStyle="1" w:styleId="fontstyle21">
    <w:name w:val="fontstyle21"/>
    <w:basedOn w:val="Fuentedeprrafopredeter"/>
    <w:rsid w:val="00286D77"/>
    <w:rPr>
      <w:rFonts w:ascii="Roboto-Bold" w:hAnsi="Roboto-Bold" w:hint="default"/>
      <w:b/>
      <w:bCs/>
      <w:i w:val="0"/>
      <w:iCs w:val="0"/>
      <w:color w:val="282827"/>
      <w:sz w:val="14"/>
      <w:szCs w:val="14"/>
    </w:rPr>
  </w:style>
  <w:style w:type="character" w:customStyle="1" w:styleId="UnresolvedMention">
    <w:name w:val="Unresolved Mention"/>
    <w:basedOn w:val="Fuentedeprrafopredeter"/>
    <w:uiPriority w:val="99"/>
    <w:semiHidden/>
    <w:unhideWhenUsed/>
    <w:rsid w:val="00286D77"/>
    <w:rPr>
      <w:color w:val="605E5C"/>
      <w:shd w:val="clear" w:color="auto" w:fill="E1DFDD"/>
    </w:rPr>
  </w:style>
  <w:style w:type="paragraph" w:styleId="Revisin">
    <w:name w:val="Revision"/>
    <w:hidden/>
    <w:uiPriority w:val="99"/>
    <w:semiHidden/>
    <w:rsid w:val="00286D77"/>
    <w:pPr>
      <w:spacing w:after="0" w:line="240" w:lineRule="auto"/>
    </w:pPr>
    <w:rPr>
      <w:rFonts w:ascii="Times New Roman" w:eastAsia="Times New Roman" w:hAnsi="Times New Roman" w:cs="Times New Roman"/>
      <w:sz w:val="20"/>
      <w:szCs w:val="20"/>
      <w:lang w:eastAsia="es-CO"/>
    </w:rPr>
  </w:style>
  <w:style w:type="character" w:styleId="Refdecomentario">
    <w:name w:val="annotation reference"/>
    <w:basedOn w:val="Fuentedeprrafopredeter"/>
    <w:uiPriority w:val="99"/>
    <w:semiHidden/>
    <w:unhideWhenUsed/>
    <w:rsid w:val="00286D77"/>
    <w:rPr>
      <w:sz w:val="16"/>
      <w:szCs w:val="16"/>
    </w:rPr>
  </w:style>
  <w:style w:type="character" w:styleId="Nmerodepgina">
    <w:name w:val="page number"/>
    <w:basedOn w:val="Fuentedeprrafopredeter"/>
    <w:uiPriority w:val="99"/>
    <w:semiHidden/>
    <w:unhideWhenUsed/>
    <w:rsid w:val="00286D77"/>
  </w:style>
  <w:style w:type="character" w:customStyle="1" w:styleId="Ttulo3Car">
    <w:name w:val="Título 3 Car"/>
    <w:basedOn w:val="Fuentedeprrafopredeter"/>
    <w:link w:val="Ttulo3"/>
    <w:uiPriority w:val="9"/>
    <w:rsid w:val="00286D7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8D9FA1-24CA-41CC-920B-964A5D6C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2090</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25</cp:revision>
  <cp:lastPrinted>2024-04-23T20:31:00Z</cp:lastPrinted>
  <dcterms:created xsi:type="dcterms:W3CDTF">2024-05-20T20:54:00Z</dcterms:created>
  <dcterms:modified xsi:type="dcterms:W3CDTF">2024-05-29T14:25:00Z</dcterms:modified>
</cp:coreProperties>
</file>